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rPr>
          <w:rFonts w:hint="eastAsia"/>
          <w:b/>
          <w:bCs/>
          <w:sz w:val="32"/>
        </w:rPr>
      </w:pPr>
      <w:r>
        <w:rPr>
          <w:rFonts w:hint="eastAsia" w:ascii="宋体"/>
          <w:b/>
          <w:bCs/>
          <w:sz w:val="32"/>
        </w:rPr>
        <w:t>建筑工程团体人身意外伤害保险</w:t>
      </w:r>
      <w:r>
        <w:rPr>
          <w:rFonts w:hint="eastAsia"/>
          <w:b/>
          <w:bCs/>
          <w:sz w:val="32"/>
        </w:rPr>
        <w:t>投保单</w:t>
      </w:r>
    </w:p>
    <w:tbl>
      <w:tblPr>
        <w:tblStyle w:val="11"/>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20" w:type="dxa"/>
            <w:tcBorders>
              <w:top w:val="single" w:color="auto" w:sz="12" w:space="0"/>
              <w:left w:val="single" w:color="auto" w:sz="12" w:space="0"/>
              <w:bottom w:val="single" w:color="auto" w:sz="12" w:space="0"/>
              <w:right w:val="single" w:color="auto" w:sz="12" w:space="0"/>
            </w:tcBorders>
            <w:vAlign w:val="top"/>
          </w:tcPr>
          <w:p>
            <w:pPr>
              <w:snapToGrid w:val="0"/>
              <w:spacing w:line="260" w:lineRule="exact"/>
              <w:ind w:left="1260" w:hanging="1260"/>
              <w:rPr>
                <w:rFonts w:hint="eastAsia" w:ascii="Times New Roman" w:hAnsi="Times New Roman"/>
                <w:b/>
                <w:kern w:val="0"/>
                <w:sz w:val="18"/>
                <w:szCs w:val="20"/>
              </w:rPr>
            </w:pPr>
            <w:r>
              <w:rPr>
                <w:rFonts w:hint="eastAsia" w:ascii="Times New Roman" w:hAnsi="Times New Roman"/>
                <w:b/>
                <w:kern w:val="0"/>
                <w:sz w:val="18"/>
                <w:szCs w:val="20"/>
              </w:rPr>
              <w:t>重要提示：</w:t>
            </w:r>
          </w:p>
          <w:p>
            <w:pPr>
              <w:spacing w:line="260" w:lineRule="exact"/>
              <w:rPr>
                <w:rFonts w:hint="eastAsia" w:ascii="宋体" w:hAnsi="Times New Roman"/>
                <w:b/>
                <w:kern w:val="0"/>
                <w:sz w:val="18"/>
                <w:szCs w:val="20"/>
              </w:rPr>
            </w:pPr>
            <w:r>
              <w:rPr>
                <w:rFonts w:hint="eastAsia" w:ascii="宋体" w:hAnsi="Times New Roman"/>
                <w:b/>
                <w:kern w:val="0"/>
                <w:sz w:val="18"/>
                <w:szCs w:val="20"/>
              </w:rPr>
              <w:t>1、为了更好的保障您的权益，请您在投保前仔细阅读保险条款，尤其是黑体字标注的免除保险人责任的条款内容，并听取保险公司业务人员的说明。如对保险公司业务人员的说明不明白或有异议的，请您在填写本投保单之前向保险公司业务人员进行询问。如未询问而又签署投保单的，视同您已经对条款内容完全理解并无异议。</w:t>
            </w:r>
          </w:p>
          <w:p>
            <w:pPr>
              <w:spacing w:line="260" w:lineRule="exact"/>
              <w:rPr>
                <w:rFonts w:hint="eastAsia" w:ascii="宋体" w:hAnsi="Times New Roman"/>
                <w:b/>
                <w:kern w:val="0"/>
                <w:sz w:val="18"/>
                <w:szCs w:val="20"/>
              </w:rPr>
            </w:pPr>
            <w:r>
              <w:rPr>
                <w:rFonts w:hint="eastAsia" w:ascii="宋体" w:hAnsi="Times New Roman"/>
                <w:b/>
                <w:kern w:val="0"/>
                <w:sz w:val="18"/>
                <w:szCs w:val="20"/>
              </w:rPr>
              <w:t>2、请您在仔细阅读保险条款后用黑或兰黑墨水笔填写投保单及被保险人清单，填写内容必须真实、全面、准确、字迹清楚、不得涂改。订立保险合同时，保险公司业务人员就投保人、被保险人的有关情况提出询问的，您应当如实告知。如您所告知资料有不实之处，可能将导致您的权益不能得到充分的保障。</w:t>
            </w:r>
          </w:p>
          <w:p>
            <w:pPr>
              <w:spacing w:line="260" w:lineRule="exact"/>
            </w:pPr>
            <w:r>
              <w:rPr>
                <w:rFonts w:hint="eastAsia" w:ascii="宋体" w:hAnsi="Times New Roman"/>
                <w:b/>
                <w:kern w:val="0"/>
                <w:sz w:val="18"/>
                <w:szCs w:val="20"/>
              </w:rPr>
              <w:t>3、除另有约定外，本公司将以您本次填写的地址、电话为最后住所及通讯地址。如有地址、电话变更，请你及时书面通知本公司，以便为您提供服务。</w:t>
            </w:r>
          </w:p>
        </w:tc>
      </w:tr>
    </w:tbl>
    <w:p>
      <w:pPr>
        <w:pStyle w:val="12"/>
        <w:numPr>
          <w:ilvl w:val="0"/>
          <w:numId w:val="1"/>
        </w:numPr>
        <w:spacing w:line="360" w:lineRule="auto"/>
        <w:ind w:firstLineChars="0"/>
        <w:rPr>
          <w:rFonts w:hint="eastAsia"/>
          <w:b/>
          <w:bCs/>
          <w:sz w:val="18"/>
        </w:rPr>
      </w:pPr>
      <w:r>
        <w:rPr>
          <w:rFonts w:hint="eastAsia"/>
          <w:b/>
          <w:bCs/>
          <w:sz w:val="18"/>
        </w:rPr>
        <w:t>投保人资料</w:t>
      </w:r>
    </w:p>
    <w:tbl>
      <w:tblPr>
        <w:tblStyle w:val="11"/>
        <w:tblW w:w="104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4"/>
        <w:gridCol w:w="300"/>
        <w:gridCol w:w="1543"/>
        <w:gridCol w:w="1172"/>
        <w:gridCol w:w="1046"/>
        <w:gridCol w:w="110"/>
        <w:gridCol w:w="138"/>
        <w:gridCol w:w="386"/>
        <w:gridCol w:w="743"/>
        <w:gridCol w:w="843"/>
        <w:gridCol w:w="124"/>
        <w:gridCol w:w="229"/>
        <w:gridCol w:w="849"/>
        <w:gridCol w:w="15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exact"/>
          <w:jc w:val="center"/>
        </w:trPr>
        <w:tc>
          <w:tcPr>
            <w:tcW w:w="1664" w:type="dxa"/>
            <w:gridSpan w:val="2"/>
            <w:vAlign w:val="center"/>
          </w:tcPr>
          <w:p>
            <w:pPr>
              <w:pStyle w:val="8"/>
              <w:pBdr>
                <w:bottom w:val="none" w:color="auto" w:sz="0" w:space="0"/>
              </w:pBdr>
              <w:tabs>
                <w:tab w:val="clear" w:pos="4153"/>
                <w:tab w:val="clear" w:pos="8306"/>
              </w:tabs>
              <w:snapToGrid/>
              <w:rPr>
                <w:rFonts w:hint="eastAsia"/>
                <w:color w:val="auto"/>
                <w:szCs w:val="24"/>
              </w:rPr>
            </w:pPr>
            <w:r>
              <w:rPr>
                <w:rFonts w:hint="eastAsia"/>
                <w:color w:val="auto"/>
                <w:szCs w:val="24"/>
              </w:rPr>
              <w:t>投保人</w:t>
            </w:r>
          </w:p>
        </w:tc>
        <w:tc>
          <w:tcPr>
            <w:tcW w:w="3761" w:type="dxa"/>
            <w:gridSpan w:val="3"/>
            <w:vAlign w:val="top"/>
          </w:tcPr>
          <w:p>
            <w:pPr>
              <w:rPr>
                <w:rFonts w:hint="eastAsia"/>
                <w:color w:val="auto"/>
                <w:sz w:val="18"/>
              </w:rPr>
            </w:pPr>
            <w:r>
              <w:rPr>
                <w:rFonts w:hint="eastAsia" w:ascii="楷体" w:hAnsi="楷体" w:eastAsia="楷体" w:cs="楷体"/>
                <w:i w:val="0"/>
                <w:color w:val="000000"/>
                <w:sz w:val="24"/>
                <w:szCs w:val="24"/>
                <w:u w:val="none"/>
                <w:lang w:val="zh-CN" w:eastAsia="zh-CN"/>
              </w:rPr>
              <w:t>深圳众泰劳务服务有限公司</w:t>
            </w:r>
          </w:p>
        </w:tc>
        <w:tc>
          <w:tcPr>
            <w:tcW w:w="2220" w:type="dxa"/>
            <w:gridSpan w:val="5"/>
            <w:vAlign w:val="center"/>
          </w:tcPr>
          <w:p>
            <w:pPr>
              <w:pStyle w:val="8"/>
              <w:pBdr>
                <w:bottom w:val="none" w:color="auto" w:sz="0" w:space="0"/>
              </w:pBdr>
              <w:tabs>
                <w:tab w:val="clear" w:pos="4153"/>
                <w:tab w:val="clear" w:pos="8306"/>
              </w:tabs>
              <w:snapToGrid/>
              <w:jc w:val="both"/>
              <w:rPr>
                <w:rFonts w:hint="eastAsia"/>
                <w:color w:val="auto"/>
                <w:szCs w:val="24"/>
                <w:lang w:eastAsia="zh-CN"/>
              </w:rPr>
            </w:pPr>
            <w:r>
              <w:rPr>
                <w:rFonts w:hint="eastAsia"/>
                <w:color w:val="auto"/>
                <w:szCs w:val="24"/>
                <w:lang w:eastAsia="zh-CN"/>
              </w:rPr>
              <w:t>证件类型：</w:t>
            </w:r>
          </w:p>
          <w:p>
            <w:pPr>
              <w:pStyle w:val="8"/>
              <w:pBdr>
                <w:bottom w:val="none" w:color="auto" w:sz="0" w:space="0"/>
              </w:pBdr>
              <w:tabs>
                <w:tab w:val="clear" w:pos="4153"/>
                <w:tab w:val="clear" w:pos="8306"/>
              </w:tabs>
              <w:snapToGrid/>
              <w:jc w:val="both"/>
              <w:rPr>
                <w:rFonts w:hint="eastAsia" w:ascii="宋体" w:hAnsi="宋体"/>
                <w:color w:val="auto"/>
                <w:sz w:val="18"/>
              </w:rPr>
            </w:pPr>
            <w:r>
              <w:rPr>
                <w:rFonts w:hint="eastAsia" w:ascii="宋体" w:hAnsi="宋体"/>
                <w:color w:val="auto"/>
                <w:sz w:val="18"/>
              </w:rPr>
              <w:t>□</w:t>
            </w:r>
            <w:r>
              <w:rPr>
                <w:rFonts w:hint="eastAsia"/>
                <w:color w:val="auto"/>
                <w:szCs w:val="24"/>
              </w:rPr>
              <w:t>组织机构代码</w:t>
            </w:r>
            <w:r>
              <w:rPr>
                <w:rFonts w:hint="eastAsia" w:ascii="宋体" w:hAnsi="宋体"/>
                <w:color w:val="auto"/>
                <w:sz w:val="18"/>
              </w:rPr>
              <w:t xml:space="preserve"> </w:t>
            </w:r>
          </w:p>
          <w:p>
            <w:pPr>
              <w:pStyle w:val="8"/>
              <w:pBdr>
                <w:bottom w:val="none" w:color="auto" w:sz="0" w:space="0"/>
              </w:pBdr>
              <w:tabs>
                <w:tab w:val="clear" w:pos="4153"/>
                <w:tab w:val="clear" w:pos="8306"/>
              </w:tabs>
              <w:snapToGrid/>
              <w:jc w:val="both"/>
              <w:rPr>
                <w:rFonts w:hint="eastAsia"/>
                <w:color w:val="auto"/>
                <w:szCs w:val="24"/>
              </w:rPr>
            </w:pPr>
            <w:r>
              <w:rPr>
                <w:rFonts w:hint="eastAsia" w:ascii="宋体" w:hAnsi="宋体"/>
                <w:color w:val="auto"/>
                <w:sz w:val="18"/>
              </w:rPr>
              <w:t>□其它</w:t>
            </w:r>
            <w:r>
              <w:rPr>
                <w:rFonts w:hint="eastAsia" w:ascii="宋体" w:hAnsi="宋体"/>
                <w:color w:val="auto"/>
                <w:sz w:val="18"/>
                <w:u w:val="single"/>
                <w:lang w:val="en-US" w:eastAsia="zh-CN"/>
              </w:rPr>
              <w:t xml:space="preserve">             </w:t>
            </w:r>
          </w:p>
          <w:p>
            <w:pPr>
              <w:pStyle w:val="8"/>
              <w:pBdr>
                <w:bottom w:val="none" w:color="auto" w:sz="0" w:space="0"/>
              </w:pBdr>
              <w:tabs>
                <w:tab w:val="clear" w:pos="4153"/>
                <w:tab w:val="clear" w:pos="8306"/>
              </w:tabs>
              <w:snapToGrid/>
              <w:rPr>
                <w:rFonts w:hint="eastAsia"/>
                <w:color w:val="auto"/>
                <w:szCs w:val="24"/>
              </w:rPr>
            </w:pPr>
          </w:p>
        </w:tc>
        <w:tc>
          <w:tcPr>
            <w:tcW w:w="1202" w:type="dxa"/>
            <w:gridSpan w:val="3"/>
            <w:vAlign w:val="center"/>
          </w:tcPr>
          <w:p>
            <w:pPr>
              <w:jc w:val="both"/>
              <w:rPr>
                <w:rFonts w:hint="eastAsia"/>
                <w:color w:val="auto"/>
                <w:sz w:val="18"/>
              </w:rPr>
            </w:pPr>
            <w:r>
              <w:rPr>
                <w:rFonts w:hint="eastAsia"/>
                <w:color w:val="auto"/>
                <w:sz w:val="18"/>
                <w:lang w:eastAsia="zh-CN"/>
              </w:rPr>
              <w:t>证件号码及证件有效期</w:t>
            </w:r>
          </w:p>
        </w:tc>
        <w:tc>
          <w:tcPr>
            <w:tcW w:w="1553" w:type="dxa"/>
            <w:vAlign w:val="center"/>
          </w:tcPr>
          <w:p>
            <w:pPr>
              <w:jc w:val="both"/>
              <w:rPr>
                <w:rFonts w:hint="eastAsia" w:eastAsiaTheme="minorEastAsia"/>
                <w:color w:val="auto"/>
                <w:sz w:val="18"/>
                <w:lang w:eastAsia="zh-CN"/>
              </w:rPr>
            </w:pPr>
            <w:r>
              <w:rPr>
                <w:rFonts w:hint="eastAsia"/>
                <w:color w:val="auto"/>
                <w:sz w:val="18"/>
                <w:lang w:val="en-US" w:eastAsia="zh-CN"/>
              </w:rPr>
              <w:t>91440300MA5FYHUQ5U</w:t>
            </w:r>
            <w:bookmarkStart w:id="63" w:name="_GoBack"/>
            <w:bookmarkEnd w:id="6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2" w:hRule="exact"/>
          <w:jc w:val="center"/>
        </w:trPr>
        <w:tc>
          <w:tcPr>
            <w:tcW w:w="1664" w:type="dxa"/>
            <w:gridSpan w:val="2"/>
            <w:vAlign w:val="top"/>
          </w:tcPr>
          <w:p>
            <w:pPr>
              <w:jc w:val="center"/>
              <w:rPr>
                <w:rFonts w:hint="eastAsia"/>
                <w:color w:val="auto"/>
                <w:sz w:val="18"/>
              </w:rPr>
            </w:pPr>
            <w:r>
              <w:rPr>
                <w:rFonts w:hint="eastAsia"/>
                <w:color w:val="auto"/>
                <w:sz w:val="18"/>
              </w:rPr>
              <w:t>联系地址</w:t>
            </w:r>
          </w:p>
        </w:tc>
        <w:tc>
          <w:tcPr>
            <w:tcW w:w="3761" w:type="dxa"/>
            <w:gridSpan w:val="3"/>
            <w:vAlign w:val="top"/>
          </w:tcPr>
          <w:p>
            <w:pPr>
              <w:jc w:val="both"/>
              <w:rPr>
                <w:rFonts w:hint="eastAsia" w:eastAsia="宋体"/>
                <w:color w:val="auto"/>
                <w:sz w:val="18"/>
                <w:lang w:val="en-US" w:eastAsia="zh-CN"/>
              </w:rPr>
            </w:pPr>
            <w:r>
              <w:rPr>
                <w:rFonts w:hint="eastAsia" w:ascii="宋体" w:hAnsi="宋体" w:eastAsia="宋体"/>
                <w:sz w:val="15"/>
                <w:szCs w:val="15"/>
              </w:rPr>
              <w:t>深圳市坪山</w:t>
            </w:r>
            <w:r>
              <w:rPr>
                <w:rFonts w:hint="eastAsia" w:ascii="宋体" w:hAnsi="宋体" w:eastAsia="宋体"/>
                <w:sz w:val="15"/>
                <w:szCs w:val="15"/>
                <w:lang w:eastAsia="zh-CN"/>
              </w:rPr>
              <w:t>区龙田街道老坑社区深圳市坪山区出口加工区启三路</w:t>
            </w:r>
            <w:r>
              <w:rPr>
                <w:rFonts w:hint="eastAsia" w:ascii="宋体" w:hAnsi="宋体" w:eastAsia="宋体"/>
                <w:sz w:val="15"/>
                <w:szCs w:val="15"/>
                <w:lang w:val="en-US" w:eastAsia="zh-CN"/>
              </w:rPr>
              <w:t>6号城冠工业区厂房A栋3楼301</w:t>
            </w:r>
          </w:p>
        </w:tc>
        <w:tc>
          <w:tcPr>
            <w:tcW w:w="1377" w:type="dxa"/>
            <w:gridSpan w:val="4"/>
            <w:vAlign w:val="top"/>
          </w:tcPr>
          <w:p>
            <w:pPr>
              <w:jc w:val="center"/>
              <w:rPr>
                <w:rFonts w:hint="eastAsia" w:eastAsia="宋体"/>
                <w:color w:val="auto"/>
                <w:sz w:val="18"/>
                <w:lang w:eastAsia="zh-CN"/>
              </w:rPr>
            </w:pPr>
            <w:r>
              <w:rPr>
                <w:rFonts w:hint="eastAsia"/>
                <w:color w:val="auto"/>
                <w:sz w:val="18"/>
                <w:lang w:eastAsia="zh-CN"/>
              </w:rPr>
              <w:t>传真</w:t>
            </w:r>
          </w:p>
        </w:tc>
        <w:tc>
          <w:tcPr>
            <w:tcW w:w="843" w:type="dxa"/>
            <w:vAlign w:val="top"/>
          </w:tcPr>
          <w:p>
            <w:pPr>
              <w:jc w:val="center"/>
              <w:rPr>
                <w:rFonts w:hint="eastAsia"/>
                <w:color w:val="auto"/>
                <w:sz w:val="18"/>
              </w:rPr>
            </w:pPr>
          </w:p>
        </w:tc>
        <w:tc>
          <w:tcPr>
            <w:tcW w:w="1202" w:type="dxa"/>
            <w:gridSpan w:val="3"/>
            <w:vAlign w:val="top"/>
          </w:tcPr>
          <w:p>
            <w:pPr>
              <w:jc w:val="center"/>
              <w:rPr>
                <w:rFonts w:hint="eastAsia"/>
                <w:color w:val="auto"/>
                <w:sz w:val="18"/>
              </w:rPr>
            </w:pPr>
            <w:r>
              <w:rPr>
                <w:rFonts w:hint="eastAsia"/>
                <w:color w:val="auto"/>
                <w:sz w:val="18"/>
              </w:rPr>
              <w:t>邮编</w:t>
            </w:r>
          </w:p>
        </w:tc>
        <w:tc>
          <w:tcPr>
            <w:tcW w:w="1553" w:type="dxa"/>
            <w:vAlign w:val="top"/>
          </w:tcPr>
          <w:p>
            <w:pPr>
              <w:jc w:val="center"/>
              <w:rPr>
                <w:rFonts w:hint="eastAsia"/>
                <w:color w:val="auto"/>
                <w:sz w:val="18"/>
              </w:rPr>
            </w:pPr>
            <w:r>
              <w:rPr>
                <w:rFonts w:hint="eastAsia" w:ascii="宋体" w:hAnsi="宋体"/>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exact"/>
          <w:jc w:val="center"/>
        </w:trPr>
        <w:tc>
          <w:tcPr>
            <w:tcW w:w="1664" w:type="dxa"/>
            <w:gridSpan w:val="2"/>
            <w:vAlign w:val="center"/>
          </w:tcPr>
          <w:p>
            <w:pPr>
              <w:jc w:val="center"/>
              <w:rPr>
                <w:rFonts w:hint="eastAsia"/>
                <w:color w:val="auto"/>
                <w:sz w:val="18"/>
              </w:rPr>
            </w:pPr>
            <w:r>
              <w:rPr>
                <w:rFonts w:hint="eastAsia"/>
                <w:color w:val="auto"/>
                <w:sz w:val="18"/>
              </w:rPr>
              <w:t>营业执照注册号</w:t>
            </w:r>
          </w:p>
        </w:tc>
        <w:tc>
          <w:tcPr>
            <w:tcW w:w="1543" w:type="dxa"/>
            <w:vAlign w:val="center"/>
          </w:tcPr>
          <w:p>
            <w:pPr>
              <w:jc w:val="center"/>
              <w:rPr>
                <w:rFonts w:hint="eastAsia"/>
                <w:color w:val="auto"/>
                <w:sz w:val="18"/>
              </w:rPr>
            </w:pPr>
          </w:p>
        </w:tc>
        <w:tc>
          <w:tcPr>
            <w:tcW w:w="2218" w:type="dxa"/>
            <w:gridSpan w:val="2"/>
            <w:vAlign w:val="center"/>
          </w:tcPr>
          <w:p>
            <w:pPr>
              <w:jc w:val="center"/>
              <w:rPr>
                <w:rFonts w:hint="eastAsia" w:ascii="宋体" w:hAnsi="宋体"/>
                <w:color w:val="auto"/>
              </w:rPr>
            </w:pPr>
            <w:r>
              <w:rPr>
                <w:rFonts w:hint="eastAsia"/>
                <w:color w:val="auto"/>
                <w:sz w:val="18"/>
                <w:lang w:eastAsia="zh-CN"/>
              </w:rPr>
              <w:t>经营范围</w:t>
            </w:r>
          </w:p>
        </w:tc>
        <w:tc>
          <w:tcPr>
            <w:tcW w:w="2220" w:type="dxa"/>
            <w:gridSpan w:val="5"/>
            <w:vAlign w:val="center"/>
          </w:tcPr>
          <w:p>
            <w:pPr>
              <w:jc w:val="center"/>
              <w:rPr>
                <w:rFonts w:hint="eastAsia"/>
                <w:color w:val="auto"/>
                <w:sz w:val="18"/>
              </w:rPr>
            </w:pPr>
          </w:p>
        </w:tc>
        <w:tc>
          <w:tcPr>
            <w:tcW w:w="1202" w:type="dxa"/>
            <w:gridSpan w:val="3"/>
            <w:vAlign w:val="center"/>
          </w:tcPr>
          <w:p>
            <w:pPr>
              <w:jc w:val="center"/>
              <w:rPr>
                <w:rFonts w:hint="eastAsia"/>
                <w:color w:val="auto"/>
                <w:sz w:val="18"/>
              </w:rPr>
            </w:pPr>
            <w:r>
              <w:rPr>
                <w:rFonts w:hint="eastAsia"/>
                <w:color w:val="auto"/>
                <w:sz w:val="18"/>
              </w:rPr>
              <w:t>营业期限</w:t>
            </w:r>
          </w:p>
        </w:tc>
        <w:tc>
          <w:tcPr>
            <w:tcW w:w="1553" w:type="dxa"/>
            <w:vAlign w:val="center"/>
          </w:tcPr>
          <w:p>
            <w:pPr>
              <w:jc w:val="center"/>
              <w:rPr>
                <w:rFonts w:hint="eastAsia"/>
                <w:color w:val="auto"/>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exact"/>
          <w:jc w:val="center"/>
        </w:trPr>
        <w:tc>
          <w:tcPr>
            <w:tcW w:w="1664" w:type="dxa"/>
            <w:gridSpan w:val="2"/>
            <w:vAlign w:val="center"/>
          </w:tcPr>
          <w:p>
            <w:pPr>
              <w:jc w:val="center"/>
              <w:rPr>
                <w:rFonts w:hint="eastAsia"/>
                <w:color w:val="auto"/>
                <w:sz w:val="18"/>
              </w:rPr>
            </w:pPr>
            <w:r>
              <w:rPr>
                <w:rFonts w:hint="eastAsia"/>
                <w:color w:val="auto"/>
                <w:sz w:val="18"/>
                <w:lang w:eastAsia="zh-CN"/>
              </w:rPr>
              <w:t>公司负责人或法定代表人姓名</w:t>
            </w:r>
          </w:p>
        </w:tc>
        <w:tc>
          <w:tcPr>
            <w:tcW w:w="1543" w:type="dxa"/>
            <w:vAlign w:val="center"/>
          </w:tcPr>
          <w:p>
            <w:pPr>
              <w:jc w:val="center"/>
              <w:rPr>
                <w:rFonts w:hint="eastAsia"/>
                <w:color w:val="auto"/>
                <w:sz w:val="18"/>
              </w:rPr>
            </w:pPr>
          </w:p>
        </w:tc>
        <w:tc>
          <w:tcPr>
            <w:tcW w:w="2218" w:type="dxa"/>
            <w:gridSpan w:val="2"/>
            <w:vAlign w:val="center"/>
          </w:tcPr>
          <w:p>
            <w:pPr>
              <w:jc w:val="both"/>
              <w:rPr>
                <w:rFonts w:hint="eastAsia"/>
                <w:color w:val="auto"/>
                <w:sz w:val="18"/>
                <w:lang w:eastAsia="zh-CN"/>
              </w:rPr>
            </w:pPr>
            <w:r>
              <w:rPr>
                <w:rFonts w:hint="eastAsia"/>
                <w:color w:val="auto"/>
                <w:sz w:val="18"/>
                <w:lang w:eastAsia="zh-CN"/>
              </w:rPr>
              <w:t>证件类型：</w:t>
            </w:r>
          </w:p>
          <w:p>
            <w:pPr>
              <w:jc w:val="center"/>
              <w:rPr>
                <w:rFonts w:hint="eastAsia"/>
                <w:color w:val="auto"/>
                <w:sz w:val="18"/>
                <w:lang w:eastAsia="zh-CN"/>
              </w:rPr>
            </w:pPr>
            <w:r>
              <w:rPr>
                <w:rFonts w:hint="eastAsia" w:ascii="宋体" w:hAnsi="宋体"/>
                <w:color w:val="auto"/>
                <w:sz w:val="18"/>
                <w:u w:val="none"/>
              </w:rPr>
              <w:t>□身份证 □护照 □其它</w:t>
            </w:r>
          </w:p>
        </w:tc>
        <w:tc>
          <w:tcPr>
            <w:tcW w:w="2220" w:type="dxa"/>
            <w:gridSpan w:val="5"/>
            <w:vAlign w:val="center"/>
          </w:tcPr>
          <w:p>
            <w:pPr>
              <w:jc w:val="center"/>
              <w:rPr>
                <w:rFonts w:hint="eastAsia"/>
                <w:color w:val="auto"/>
                <w:sz w:val="18"/>
              </w:rPr>
            </w:pPr>
            <w:r>
              <w:rPr>
                <w:rFonts w:hint="eastAsia"/>
                <w:color w:val="auto"/>
                <w:sz w:val="18"/>
                <w:lang w:eastAsia="zh-CN"/>
              </w:rPr>
              <w:t>证件号码及证件有效期</w:t>
            </w:r>
          </w:p>
        </w:tc>
        <w:tc>
          <w:tcPr>
            <w:tcW w:w="2755" w:type="dxa"/>
            <w:gridSpan w:val="4"/>
            <w:vAlign w:val="center"/>
          </w:tcPr>
          <w:p>
            <w:pPr>
              <w:jc w:val="center"/>
              <w:rPr>
                <w:rFonts w:hint="eastAsia"/>
                <w:color w:val="auto"/>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2" w:hRule="exact"/>
          <w:jc w:val="center"/>
        </w:trPr>
        <w:tc>
          <w:tcPr>
            <w:tcW w:w="1664" w:type="dxa"/>
            <w:gridSpan w:val="2"/>
            <w:vAlign w:val="center"/>
          </w:tcPr>
          <w:p>
            <w:pPr>
              <w:jc w:val="center"/>
              <w:rPr>
                <w:rFonts w:hint="eastAsia"/>
                <w:color w:val="auto"/>
                <w:sz w:val="18"/>
                <w:lang w:eastAsia="zh-CN"/>
              </w:rPr>
            </w:pPr>
            <w:r>
              <w:rPr>
                <w:rFonts w:hint="eastAsia" w:ascii="宋体" w:hAnsi="宋体" w:eastAsia="宋体" w:cs="宋体"/>
                <w:color w:val="auto"/>
                <w:sz w:val="18"/>
                <w:szCs w:val="18"/>
                <w:lang w:eastAsia="zh-CN"/>
              </w:rPr>
              <w:t>控股股东或实际控制人姓名或名称</w:t>
            </w:r>
          </w:p>
        </w:tc>
        <w:tc>
          <w:tcPr>
            <w:tcW w:w="1543" w:type="dxa"/>
            <w:vAlign w:val="center"/>
          </w:tcPr>
          <w:p>
            <w:pPr>
              <w:jc w:val="center"/>
              <w:rPr>
                <w:rFonts w:hint="eastAsia"/>
                <w:color w:val="auto"/>
                <w:sz w:val="18"/>
              </w:rPr>
            </w:pPr>
          </w:p>
        </w:tc>
        <w:tc>
          <w:tcPr>
            <w:tcW w:w="2218" w:type="dxa"/>
            <w:gridSpan w:val="2"/>
            <w:vAlign w:val="center"/>
          </w:tcPr>
          <w:p>
            <w:pPr>
              <w:jc w:val="both"/>
              <w:rPr>
                <w:rFonts w:hint="eastAsia"/>
                <w:color w:val="auto"/>
                <w:sz w:val="18"/>
                <w:lang w:eastAsia="zh-CN"/>
              </w:rPr>
            </w:pPr>
            <w:r>
              <w:rPr>
                <w:rFonts w:hint="eastAsia"/>
                <w:color w:val="auto"/>
                <w:sz w:val="18"/>
                <w:lang w:eastAsia="zh-CN"/>
              </w:rPr>
              <w:t>证件类型：</w:t>
            </w:r>
          </w:p>
          <w:p>
            <w:pPr>
              <w:jc w:val="center"/>
              <w:rPr>
                <w:rFonts w:hint="eastAsia" w:ascii="宋体" w:hAnsi="宋体"/>
                <w:color w:val="auto"/>
                <w:sz w:val="18"/>
                <w:u w:val="none"/>
              </w:rPr>
            </w:pPr>
            <w:r>
              <w:rPr>
                <w:rFonts w:hint="eastAsia" w:ascii="宋体" w:hAnsi="宋体"/>
                <w:color w:val="auto"/>
                <w:sz w:val="18"/>
                <w:u w:val="none"/>
              </w:rPr>
              <w:t>□身份证 □护照 □其它</w:t>
            </w:r>
          </w:p>
        </w:tc>
        <w:tc>
          <w:tcPr>
            <w:tcW w:w="2220" w:type="dxa"/>
            <w:gridSpan w:val="5"/>
            <w:vAlign w:val="center"/>
          </w:tcPr>
          <w:p>
            <w:pPr>
              <w:jc w:val="center"/>
              <w:rPr>
                <w:rFonts w:hint="eastAsia"/>
                <w:color w:val="auto"/>
                <w:sz w:val="18"/>
                <w:lang w:eastAsia="zh-CN"/>
              </w:rPr>
            </w:pPr>
            <w:r>
              <w:rPr>
                <w:rFonts w:hint="eastAsia"/>
                <w:color w:val="auto"/>
                <w:sz w:val="18"/>
                <w:lang w:eastAsia="zh-CN"/>
              </w:rPr>
              <w:t>证件号码及证件有效期</w:t>
            </w:r>
          </w:p>
        </w:tc>
        <w:tc>
          <w:tcPr>
            <w:tcW w:w="2755" w:type="dxa"/>
            <w:gridSpan w:val="4"/>
            <w:vAlign w:val="center"/>
          </w:tcPr>
          <w:p>
            <w:pPr>
              <w:jc w:val="center"/>
              <w:rPr>
                <w:rFonts w:hint="eastAsia"/>
                <w:color w:val="auto"/>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2" w:hRule="exact"/>
          <w:jc w:val="center"/>
        </w:trPr>
        <w:tc>
          <w:tcPr>
            <w:tcW w:w="1664" w:type="dxa"/>
            <w:gridSpan w:val="2"/>
            <w:vAlign w:val="center"/>
          </w:tcPr>
          <w:p>
            <w:pPr>
              <w:jc w:val="center"/>
              <w:rPr>
                <w:rFonts w:hint="eastAsia"/>
                <w:color w:val="auto"/>
                <w:sz w:val="18"/>
                <w:lang w:eastAsia="zh-CN"/>
              </w:rPr>
            </w:pPr>
            <w:r>
              <w:rPr>
                <w:rFonts w:hint="eastAsia"/>
                <w:color w:val="auto"/>
                <w:sz w:val="18"/>
                <w:lang w:eastAsia="zh-CN"/>
              </w:rPr>
              <w:t>受益所有人姓名</w:t>
            </w:r>
          </w:p>
        </w:tc>
        <w:tc>
          <w:tcPr>
            <w:tcW w:w="1543" w:type="dxa"/>
            <w:vAlign w:val="center"/>
          </w:tcPr>
          <w:p>
            <w:pPr>
              <w:jc w:val="center"/>
              <w:rPr>
                <w:rFonts w:hint="eastAsia"/>
                <w:color w:val="auto"/>
                <w:sz w:val="18"/>
              </w:rPr>
            </w:pPr>
          </w:p>
        </w:tc>
        <w:tc>
          <w:tcPr>
            <w:tcW w:w="2218" w:type="dxa"/>
            <w:gridSpan w:val="2"/>
            <w:vAlign w:val="center"/>
          </w:tcPr>
          <w:p>
            <w:pPr>
              <w:jc w:val="both"/>
              <w:rPr>
                <w:rFonts w:hint="eastAsia"/>
                <w:color w:val="auto"/>
                <w:sz w:val="18"/>
                <w:lang w:eastAsia="zh-CN"/>
              </w:rPr>
            </w:pPr>
            <w:r>
              <w:rPr>
                <w:rFonts w:hint="eastAsia"/>
                <w:color w:val="auto"/>
                <w:sz w:val="18"/>
                <w:lang w:eastAsia="zh-CN"/>
              </w:rPr>
              <w:t>证件类型：</w:t>
            </w:r>
          </w:p>
          <w:p>
            <w:pPr>
              <w:jc w:val="center"/>
              <w:rPr>
                <w:rFonts w:hint="eastAsia" w:ascii="宋体" w:hAnsi="宋体"/>
                <w:color w:val="auto"/>
                <w:sz w:val="18"/>
                <w:u w:val="none"/>
              </w:rPr>
            </w:pPr>
            <w:r>
              <w:rPr>
                <w:rFonts w:hint="eastAsia" w:ascii="宋体" w:hAnsi="宋体"/>
                <w:color w:val="auto"/>
                <w:sz w:val="18"/>
                <w:u w:val="none"/>
              </w:rPr>
              <w:t>□身份证 □护照 □其它</w:t>
            </w:r>
          </w:p>
        </w:tc>
        <w:tc>
          <w:tcPr>
            <w:tcW w:w="2220" w:type="dxa"/>
            <w:gridSpan w:val="5"/>
            <w:vAlign w:val="center"/>
          </w:tcPr>
          <w:p>
            <w:pPr>
              <w:jc w:val="center"/>
              <w:rPr>
                <w:rFonts w:hint="eastAsia"/>
                <w:color w:val="auto"/>
                <w:sz w:val="18"/>
                <w:lang w:eastAsia="zh-CN"/>
              </w:rPr>
            </w:pPr>
            <w:r>
              <w:rPr>
                <w:rFonts w:hint="eastAsia"/>
                <w:color w:val="auto"/>
                <w:sz w:val="18"/>
                <w:lang w:eastAsia="zh-CN"/>
              </w:rPr>
              <w:t>证件号码及证件有效期</w:t>
            </w:r>
          </w:p>
        </w:tc>
        <w:tc>
          <w:tcPr>
            <w:tcW w:w="2755" w:type="dxa"/>
            <w:gridSpan w:val="4"/>
            <w:vAlign w:val="center"/>
          </w:tcPr>
          <w:p>
            <w:pPr>
              <w:jc w:val="center"/>
              <w:rPr>
                <w:rFonts w:hint="eastAsia"/>
                <w:color w:val="auto"/>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7" w:hRule="exact"/>
          <w:jc w:val="center"/>
        </w:trPr>
        <w:tc>
          <w:tcPr>
            <w:tcW w:w="1664" w:type="dxa"/>
            <w:gridSpan w:val="2"/>
            <w:vAlign w:val="center"/>
          </w:tcPr>
          <w:p>
            <w:pPr>
              <w:jc w:val="center"/>
              <w:rPr>
                <w:rFonts w:hint="eastAsia"/>
                <w:color w:val="auto"/>
                <w:sz w:val="18"/>
                <w:lang w:eastAsia="zh-CN"/>
              </w:rPr>
            </w:pPr>
            <w:r>
              <w:rPr>
                <w:rFonts w:hint="eastAsia"/>
                <w:color w:val="auto"/>
                <w:sz w:val="18"/>
                <w:lang w:eastAsia="zh-CN"/>
              </w:rPr>
              <w:t>受益所有人地址</w:t>
            </w:r>
          </w:p>
        </w:tc>
        <w:tc>
          <w:tcPr>
            <w:tcW w:w="8736" w:type="dxa"/>
            <w:gridSpan w:val="12"/>
            <w:vAlign w:val="center"/>
          </w:tcPr>
          <w:p>
            <w:pPr>
              <w:jc w:val="left"/>
              <w:rPr>
                <w:rFonts w:hint="eastAsia" w:eastAsiaTheme="minorEastAsia"/>
                <w:color w:val="auto"/>
                <w:sz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2" w:hRule="exact"/>
          <w:jc w:val="center"/>
        </w:trPr>
        <w:tc>
          <w:tcPr>
            <w:tcW w:w="1664" w:type="dxa"/>
            <w:gridSpan w:val="2"/>
            <w:vAlign w:val="center"/>
          </w:tcPr>
          <w:p>
            <w:pPr>
              <w:jc w:val="center"/>
              <w:rPr>
                <w:rFonts w:hint="eastAsia"/>
                <w:color w:val="auto"/>
                <w:sz w:val="18"/>
                <w:lang w:eastAsia="zh-CN"/>
              </w:rPr>
            </w:pPr>
            <w:r>
              <w:rPr>
                <w:rFonts w:hint="eastAsia"/>
                <w:color w:val="auto"/>
                <w:sz w:val="18"/>
                <w:lang w:eastAsia="zh-CN"/>
              </w:rPr>
              <w:t>经办人姓名</w:t>
            </w:r>
          </w:p>
        </w:tc>
        <w:tc>
          <w:tcPr>
            <w:tcW w:w="1543" w:type="dxa"/>
            <w:vAlign w:val="center"/>
          </w:tcPr>
          <w:p>
            <w:pPr>
              <w:jc w:val="center"/>
              <w:rPr>
                <w:rFonts w:hint="eastAsia"/>
                <w:color w:val="auto"/>
                <w:sz w:val="18"/>
              </w:rPr>
            </w:pPr>
          </w:p>
        </w:tc>
        <w:tc>
          <w:tcPr>
            <w:tcW w:w="2466" w:type="dxa"/>
            <w:gridSpan w:val="4"/>
            <w:vAlign w:val="center"/>
          </w:tcPr>
          <w:p>
            <w:pPr>
              <w:jc w:val="both"/>
              <w:rPr>
                <w:rFonts w:hint="eastAsia"/>
                <w:color w:val="auto"/>
                <w:sz w:val="18"/>
                <w:lang w:eastAsia="zh-CN"/>
              </w:rPr>
            </w:pPr>
            <w:r>
              <w:rPr>
                <w:rFonts w:hint="eastAsia"/>
                <w:color w:val="auto"/>
                <w:sz w:val="18"/>
                <w:lang w:eastAsia="zh-CN"/>
              </w:rPr>
              <w:t>证件类型：</w:t>
            </w:r>
          </w:p>
          <w:p>
            <w:pPr>
              <w:jc w:val="center"/>
              <w:rPr>
                <w:rFonts w:hint="eastAsia" w:ascii="宋体" w:hAnsi="宋体"/>
                <w:color w:val="auto"/>
                <w:sz w:val="18"/>
                <w:u w:val="none"/>
              </w:rPr>
            </w:pPr>
            <w:r>
              <w:rPr>
                <w:rFonts w:hint="eastAsia" w:ascii="宋体" w:hAnsi="宋体"/>
                <w:color w:val="auto"/>
                <w:sz w:val="18"/>
                <w:u w:val="none"/>
              </w:rPr>
              <w:t>□身份证 □护照 □其它</w:t>
            </w:r>
          </w:p>
        </w:tc>
        <w:tc>
          <w:tcPr>
            <w:tcW w:w="2325" w:type="dxa"/>
            <w:gridSpan w:val="5"/>
            <w:vAlign w:val="center"/>
          </w:tcPr>
          <w:p>
            <w:pPr>
              <w:jc w:val="center"/>
              <w:rPr>
                <w:rFonts w:hint="eastAsia"/>
                <w:color w:val="auto"/>
                <w:sz w:val="18"/>
                <w:lang w:eastAsia="zh-CN"/>
              </w:rPr>
            </w:pPr>
            <w:r>
              <w:rPr>
                <w:rFonts w:hint="eastAsia"/>
                <w:color w:val="auto"/>
                <w:sz w:val="18"/>
                <w:lang w:eastAsia="zh-CN"/>
              </w:rPr>
              <w:t>证件号码及证件有效期</w:t>
            </w:r>
          </w:p>
        </w:tc>
        <w:tc>
          <w:tcPr>
            <w:tcW w:w="2402" w:type="dxa"/>
            <w:gridSpan w:val="2"/>
            <w:vAlign w:val="center"/>
          </w:tcPr>
          <w:p>
            <w:pPr>
              <w:jc w:val="center"/>
              <w:rPr>
                <w:rFonts w:hint="eastAsia"/>
                <w:color w:val="auto"/>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exact"/>
          <w:jc w:val="center"/>
        </w:trPr>
        <w:tc>
          <w:tcPr>
            <w:tcW w:w="6802" w:type="dxa"/>
            <w:gridSpan w:val="9"/>
            <w:vAlign w:val="center"/>
          </w:tcPr>
          <w:p>
            <w:pPr>
              <w:spacing w:line="0" w:lineRule="atLeast"/>
              <w:rPr>
                <w:rFonts w:hint="eastAsia"/>
                <w:color w:val="auto"/>
                <w:sz w:val="18"/>
              </w:rPr>
            </w:pPr>
            <w:r>
              <w:rPr>
                <w:rFonts w:hint="eastAsia" w:ascii="宋体" w:hAnsi="宋体"/>
                <w:color w:val="auto"/>
                <w:sz w:val="18"/>
              </w:rPr>
              <w:t>交费形式：□银行转帐  □银行代收  □支票  □POS刷卡  □其他</w:t>
            </w:r>
          </w:p>
        </w:tc>
        <w:tc>
          <w:tcPr>
            <w:tcW w:w="3598" w:type="dxa"/>
            <w:gridSpan w:val="5"/>
            <w:vAlign w:val="center"/>
          </w:tcPr>
          <w:p>
            <w:pPr>
              <w:spacing w:line="0" w:lineRule="atLeast"/>
              <w:ind w:left="177"/>
              <w:rPr>
                <w:rFonts w:hint="eastAsia"/>
                <w:color w:val="auto"/>
                <w:sz w:val="18"/>
              </w:rPr>
            </w:pPr>
            <w:r>
              <w:rPr>
                <w:rFonts w:hint="eastAsia" w:ascii="宋体" w:hAnsi="宋体"/>
                <w:color w:val="auto"/>
                <w:sz w:val="18"/>
              </w:rPr>
              <w:t>交费日期：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exact"/>
          <w:jc w:val="center"/>
        </w:trPr>
        <w:tc>
          <w:tcPr>
            <w:tcW w:w="1364" w:type="dxa"/>
            <w:vAlign w:val="center"/>
          </w:tcPr>
          <w:p>
            <w:pPr>
              <w:spacing w:line="0" w:lineRule="atLeast"/>
              <w:ind w:left="177"/>
              <w:rPr>
                <w:rFonts w:hint="eastAsia" w:ascii="宋体" w:hAnsi="宋体"/>
                <w:color w:val="auto"/>
                <w:sz w:val="18"/>
              </w:rPr>
            </w:pPr>
            <w:r>
              <w:rPr>
                <w:rFonts w:hint="eastAsia" w:ascii="宋体" w:hAnsi="宋体"/>
                <w:color w:val="auto"/>
                <w:sz w:val="18"/>
                <w:szCs w:val="18"/>
              </w:rPr>
              <w:t>开户行</w:t>
            </w:r>
          </w:p>
        </w:tc>
        <w:tc>
          <w:tcPr>
            <w:tcW w:w="4171" w:type="dxa"/>
            <w:gridSpan w:val="5"/>
            <w:vAlign w:val="center"/>
          </w:tcPr>
          <w:p>
            <w:pPr>
              <w:spacing w:line="0" w:lineRule="atLeast"/>
              <w:ind w:left="177"/>
              <w:rPr>
                <w:rFonts w:hint="eastAsia" w:ascii="宋体" w:hAnsi="宋体"/>
                <w:color w:val="auto"/>
                <w:sz w:val="18"/>
              </w:rPr>
            </w:pPr>
          </w:p>
        </w:tc>
        <w:tc>
          <w:tcPr>
            <w:tcW w:w="1267" w:type="dxa"/>
            <w:gridSpan w:val="3"/>
            <w:vAlign w:val="center"/>
          </w:tcPr>
          <w:p>
            <w:pPr>
              <w:spacing w:line="0" w:lineRule="atLeast"/>
              <w:ind w:left="177"/>
              <w:rPr>
                <w:rFonts w:hint="eastAsia" w:ascii="宋体" w:hAnsi="宋体"/>
                <w:color w:val="auto"/>
                <w:sz w:val="18"/>
              </w:rPr>
            </w:pPr>
            <w:r>
              <w:rPr>
                <w:rFonts w:hint="eastAsia" w:ascii="宋体" w:hAnsi="宋体"/>
                <w:color w:val="auto"/>
                <w:sz w:val="18"/>
                <w:szCs w:val="18"/>
              </w:rPr>
              <w:t>开户帐号</w:t>
            </w:r>
          </w:p>
        </w:tc>
        <w:tc>
          <w:tcPr>
            <w:tcW w:w="3598" w:type="dxa"/>
            <w:gridSpan w:val="5"/>
            <w:vAlign w:val="center"/>
          </w:tcPr>
          <w:p>
            <w:pPr>
              <w:spacing w:line="0" w:lineRule="atLeast"/>
              <w:ind w:left="177"/>
              <w:rPr>
                <w:rFonts w:hint="eastAsia" w:ascii="宋体" w:hAnsi="宋体"/>
                <w:color w:val="auto"/>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7" w:hRule="exact"/>
          <w:jc w:val="center"/>
        </w:trPr>
        <w:tc>
          <w:tcPr>
            <w:tcW w:w="1364" w:type="dxa"/>
            <w:vAlign w:val="center"/>
          </w:tcPr>
          <w:p>
            <w:pPr>
              <w:spacing w:line="0" w:lineRule="atLeast"/>
              <w:ind w:left="177"/>
              <w:rPr>
                <w:rFonts w:hint="eastAsia" w:ascii="宋体" w:hAnsi="宋体"/>
                <w:color w:val="auto"/>
                <w:sz w:val="18"/>
                <w:szCs w:val="18"/>
              </w:rPr>
            </w:pPr>
            <w:r>
              <w:rPr>
                <w:rFonts w:hint="eastAsia" w:ascii="宋体" w:hAnsi="宋体"/>
                <w:color w:val="auto"/>
                <w:sz w:val="18"/>
              </w:rPr>
              <w:t>发票类型</w:t>
            </w:r>
          </w:p>
        </w:tc>
        <w:tc>
          <w:tcPr>
            <w:tcW w:w="5438" w:type="dxa"/>
            <w:gridSpan w:val="8"/>
            <w:vAlign w:val="center"/>
          </w:tcPr>
          <w:p>
            <w:pPr>
              <w:spacing w:line="0" w:lineRule="atLeast"/>
              <w:rPr>
                <w:rFonts w:hint="eastAsia" w:ascii="宋体" w:hAnsi="宋体"/>
                <w:color w:val="auto"/>
                <w:sz w:val="18"/>
                <w:szCs w:val="18"/>
              </w:rPr>
            </w:pPr>
            <w:r>
              <w:rPr>
                <w:rFonts w:hint="eastAsia" w:ascii="宋体" w:hAnsi="宋体"/>
                <w:color w:val="auto"/>
                <w:sz w:val="18"/>
              </w:rPr>
              <w:t xml:space="preserve">□增值税普通发票  □增值税电子发票 </w:t>
            </w:r>
            <w:r>
              <w:rPr>
                <w:rFonts w:hint="eastAsia" w:ascii="宋体" w:hAnsi="宋体" w:eastAsia="宋体" w:cs="宋体"/>
                <w:color w:val="auto"/>
                <w:sz w:val="18"/>
              </w:rPr>
              <w:t>█</w:t>
            </w:r>
            <w:r>
              <w:rPr>
                <w:rFonts w:hint="eastAsia" w:ascii="宋体" w:hAnsi="宋体"/>
                <w:color w:val="auto"/>
                <w:sz w:val="18"/>
              </w:rPr>
              <w:t>增值税专用发票</w:t>
            </w:r>
          </w:p>
        </w:tc>
        <w:tc>
          <w:tcPr>
            <w:tcW w:w="3598" w:type="dxa"/>
            <w:gridSpan w:val="5"/>
            <w:vAlign w:val="center"/>
          </w:tcPr>
          <w:p>
            <w:pPr>
              <w:spacing w:line="0" w:lineRule="atLeast"/>
              <w:rPr>
                <w:rFonts w:hint="eastAsia" w:ascii="宋体" w:hAnsi="宋体"/>
                <w:color w:val="auto"/>
                <w:sz w:val="18"/>
              </w:rPr>
            </w:pPr>
            <w:r>
              <w:rPr>
                <w:rFonts w:hint="eastAsia" w:ascii="宋体" w:hAnsi="宋体"/>
                <w:color w:val="auto"/>
                <w:sz w:val="18"/>
              </w:rPr>
              <w:t>（如选择“增值税专用票”，请填写下列信息）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exact"/>
          <w:jc w:val="center"/>
        </w:trPr>
        <w:tc>
          <w:tcPr>
            <w:tcW w:w="10400" w:type="dxa"/>
            <w:gridSpan w:val="14"/>
            <w:vAlign w:val="center"/>
          </w:tcPr>
          <w:p>
            <w:pPr>
              <w:spacing w:line="0" w:lineRule="atLeast"/>
              <w:rPr>
                <w:rFonts w:hint="eastAsia" w:ascii="宋体" w:hAnsi="宋体"/>
                <w:color w:val="auto"/>
                <w:sz w:val="18"/>
              </w:rPr>
            </w:pPr>
            <w:r>
              <w:rPr>
                <w:rFonts w:hint="eastAsia" w:ascii="宋体" w:hAnsi="宋体"/>
                <w:b/>
                <w:bCs/>
                <w:color w:val="auto"/>
                <w:sz w:val="18"/>
              </w:rPr>
              <w:t>增值税专用发票开票信息（必填）：</w:t>
            </w:r>
          </w:p>
          <w:p>
            <w:pPr>
              <w:spacing w:line="0" w:lineRule="atLeast"/>
              <w:rPr>
                <w:rFonts w:hint="eastAsia" w:ascii="宋体" w:hAnsi="宋体"/>
                <w:color w:val="auto"/>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7" w:hRule="exact"/>
          <w:jc w:val="center"/>
        </w:trPr>
        <w:tc>
          <w:tcPr>
            <w:tcW w:w="1364" w:type="dxa"/>
            <w:vAlign w:val="center"/>
          </w:tcPr>
          <w:p>
            <w:pPr>
              <w:spacing w:line="0" w:lineRule="atLeast"/>
              <w:rPr>
                <w:rFonts w:hint="eastAsia" w:ascii="宋体" w:hAnsi="宋体"/>
                <w:color w:val="auto"/>
                <w:sz w:val="18"/>
              </w:rPr>
            </w:pPr>
            <w:r>
              <w:rPr>
                <w:rFonts w:hint="eastAsia" w:ascii="宋体" w:hAnsi="宋体"/>
                <w:color w:val="auto"/>
                <w:sz w:val="18"/>
              </w:rPr>
              <w:t>社会信用代码</w:t>
            </w:r>
          </w:p>
        </w:tc>
        <w:tc>
          <w:tcPr>
            <w:tcW w:w="4695" w:type="dxa"/>
            <w:gridSpan w:val="7"/>
            <w:vAlign w:val="center"/>
          </w:tcPr>
          <w:p>
            <w:pPr>
              <w:spacing w:line="0" w:lineRule="atLeast"/>
              <w:rPr>
                <w:rFonts w:hint="eastAsia" w:ascii="宋体" w:hAnsi="宋体"/>
                <w:color w:val="auto"/>
                <w:sz w:val="18"/>
              </w:rPr>
            </w:pPr>
          </w:p>
        </w:tc>
        <w:tc>
          <w:tcPr>
            <w:tcW w:w="1710" w:type="dxa"/>
            <w:gridSpan w:val="3"/>
            <w:vAlign w:val="center"/>
          </w:tcPr>
          <w:p>
            <w:pPr>
              <w:spacing w:line="0" w:lineRule="atLeast"/>
              <w:jc w:val="center"/>
              <w:rPr>
                <w:rFonts w:hint="eastAsia" w:ascii="宋体" w:hAnsi="宋体"/>
                <w:color w:val="auto"/>
                <w:sz w:val="18"/>
              </w:rPr>
            </w:pPr>
            <w:r>
              <w:rPr>
                <w:rFonts w:hint="eastAsia" w:ascii="宋体" w:hAnsi="宋体"/>
                <w:color w:val="auto"/>
                <w:sz w:val="18"/>
              </w:rPr>
              <w:t>税务登记联系电话</w:t>
            </w:r>
          </w:p>
        </w:tc>
        <w:tc>
          <w:tcPr>
            <w:tcW w:w="2631" w:type="dxa"/>
            <w:gridSpan w:val="3"/>
            <w:vAlign w:val="center"/>
          </w:tcPr>
          <w:p>
            <w:pPr>
              <w:spacing w:line="0" w:lineRule="atLeast"/>
              <w:rPr>
                <w:rFonts w:hint="eastAsia" w:ascii="宋体" w:hAnsi="宋体" w:eastAsiaTheme="minorEastAsia"/>
                <w:color w:val="auto"/>
                <w:sz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exact"/>
          <w:jc w:val="center"/>
        </w:trPr>
        <w:tc>
          <w:tcPr>
            <w:tcW w:w="1364" w:type="dxa"/>
            <w:vAlign w:val="center"/>
          </w:tcPr>
          <w:p>
            <w:pPr>
              <w:spacing w:line="0" w:lineRule="atLeast"/>
              <w:jc w:val="center"/>
              <w:rPr>
                <w:rFonts w:hint="eastAsia" w:ascii="宋体" w:hAnsi="宋体"/>
                <w:color w:val="auto"/>
                <w:sz w:val="18"/>
              </w:rPr>
            </w:pPr>
            <w:r>
              <w:rPr>
                <w:rFonts w:hint="eastAsia" w:ascii="宋体" w:hAnsi="宋体"/>
                <w:color w:val="auto"/>
                <w:sz w:val="18"/>
              </w:rPr>
              <w:t>税务登记号</w:t>
            </w:r>
          </w:p>
        </w:tc>
        <w:tc>
          <w:tcPr>
            <w:tcW w:w="3015" w:type="dxa"/>
            <w:gridSpan w:val="3"/>
            <w:textDirection w:val="lrTb"/>
            <w:vAlign w:val="center"/>
          </w:tcPr>
          <w:p>
            <w:pPr>
              <w:jc w:val="both"/>
              <w:rPr>
                <w:rFonts w:hint="eastAsia" w:ascii="宋体" w:hAnsi="宋体"/>
                <w:color w:val="auto"/>
                <w:sz w:val="18"/>
              </w:rPr>
            </w:pPr>
          </w:p>
        </w:tc>
        <w:tc>
          <w:tcPr>
            <w:tcW w:w="1680" w:type="dxa"/>
            <w:gridSpan w:val="4"/>
            <w:vAlign w:val="center"/>
          </w:tcPr>
          <w:p>
            <w:pPr>
              <w:spacing w:line="0" w:lineRule="atLeast"/>
              <w:jc w:val="center"/>
              <w:rPr>
                <w:rFonts w:hint="eastAsia" w:ascii="宋体" w:hAnsi="宋体"/>
                <w:color w:val="auto"/>
                <w:sz w:val="18"/>
              </w:rPr>
            </w:pPr>
            <w:r>
              <w:rPr>
                <w:rFonts w:hint="eastAsia" w:ascii="宋体" w:hAnsi="宋体"/>
                <w:color w:val="auto"/>
                <w:sz w:val="18"/>
              </w:rPr>
              <w:t>税务登记地址</w:t>
            </w:r>
          </w:p>
        </w:tc>
        <w:tc>
          <w:tcPr>
            <w:tcW w:w="4341" w:type="dxa"/>
            <w:gridSpan w:val="6"/>
            <w:textDirection w:val="lrTb"/>
            <w:vAlign w:val="top"/>
          </w:tcPr>
          <w:p>
            <w:pPr>
              <w:jc w:val="both"/>
              <w:rPr>
                <w:rFonts w:hint="eastAsia" w:ascii="宋体" w:hAnsi="宋体"/>
                <w:color w:val="auto"/>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exact"/>
          <w:jc w:val="center"/>
        </w:trPr>
        <w:tc>
          <w:tcPr>
            <w:tcW w:w="1664" w:type="dxa"/>
            <w:gridSpan w:val="2"/>
            <w:vAlign w:val="center"/>
          </w:tcPr>
          <w:p>
            <w:pPr>
              <w:spacing w:line="0" w:lineRule="atLeast"/>
              <w:rPr>
                <w:rFonts w:hint="eastAsia" w:ascii="宋体" w:hAnsi="宋体"/>
                <w:color w:val="auto"/>
                <w:sz w:val="18"/>
              </w:rPr>
            </w:pPr>
            <w:r>
              <w:rPr>
                <w:rFonts w:hint="eastAsia" w:ascii="宋体" w:hAnsi="宋体"/>
                <w:color w:val="auto"/>
                <w:sz w:val="18"/>
              </w:rPr>
              <w:t>税务开户银行账号</w:t>
            </w:r>
          </w:p>
        </w:tc>
        <w:tc>
          <w:tcPr>
            <w:tcW w:w="2715" w:type="dxa"/>
            <w:gridSpan w:val="2"/>
            <w:textDirection w:val="lrTb"/>
            <w:vAlign w:val="center"/>
          </w:tcPr>
          <w:p>
            <w:pPr>
              <w:spacing w:line="0" w:lineRule="atLeast"/>
              <w:ind w:left="177" w:leftChars="0"/>
              <w:rPr>
                <w:rFonts w:hint="eastAsia" w:ascii="宋体" w:hAnsi="宋体" w:eastAsiaTheme="minorEastAsia"/>
                <w:color w:val="auto"/>
                <w:sz w:val="18"/>
                <w:lang w:val="en-US" w:eastAsia="zh-CN"/>
              </w:rPr>
            </w:pPr>
          </w:p>
        </w:tc>
        <w:tc>
          <w:tcPr>
            <w:tcW w:w="1680" w:type="dxa"/>
            <w:gridSpan w:val="4"/>
            <w:vAlign w:val="center"/>
          </w:tcPr>
          <w:p>
            <w:pPr>
              <w:spacing w:line="0" w:lineRule="atLeast"/>
              <w:rPr>
                <w:rFonts w:hint="eastAsia" w:ascii="宋体" w:hAnsi="宋体"/>
                <w:color w:val="auto"/>
                <w:sz w:val="18"/>
              </w:rPr>
            </w:pPr>
            <w:r>
              <w:rPr>
                <w:rFonts w:hint="eastAsia" w:ascii="宋体" w:hAnsi="宋体"/>
                <w:color w:val="auto"/>
                <w:sz w:val="18"/>
              </w:rPr>
              <w:t>税务开户银行名称</w:t>
            </w:r>
          </w:p>
        </w:tc>
        <w:tc>
          <w:tcPr>
            <w:tcW w:w="4341" w:type="dxa"/>
            <w:gridSpan w:val="6"/>
            <w:textDirection w:val="lrTb"/>
            <w:vAlign w:val="center"/>
          </w:tcPr>
          <w:p>
            <w:pPr>
              <w:spacing w:line="0" w:lineRule="atLeast"/>
              <w:ind w:left="177" w:leftChars="0"/>
              <w:rPr>
                <w:rFonts w:hint="eastAsia" w:ascii="宋体" w:hAnsi="宋体"/>
                <w:color w:val="auto"/>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exact"/>
          <w:jc w:val="center"/>
        </w:trPr>
        <w:tc>
          <w:tcPr>
            <w:tcW w:w="10400" w:type="dxa"/>
            <w:gridSpan w:val="14"/>
            <w:vAlign w:val="center"/>
          </w:tcPr>
          <w:p>
            <w:pPr>
              <w:spacing w:line="0" w:lineRule="atLeast"/>
              <w:rPr>
                <w:rFonts w:hint="eastAsia" w:ascii="宋体" w:hAnsi="宋体"/>
                <w:color w:val="auto"/>
                <w:sz w:val="18"/>
              </w:rPr>
            </w:pPr>
            <w:r>
              <w:rPr>
                <w:rFonts w:hint="eastAsia" w:ascii="宋体" w:hAnsi="宋体"/>
                <w:b/>
                <w:bCs/>
                <w:color w:val="auto"/>
                <w:sz w:val="18"/>
              </w:rPr>
              <w:t xml:space="preserve"> 专票寄送信息（选填）：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exact"/>
          <w:jc w:val="center"/>
        </w:trPr>
        <w:tc>
          <w:tcPr>
            <w:tcW w:w="1664" w:type="dxa"/>
            <w:gridSpan w:val="2"/>
            <w:vAlign w:val="center"/>
          </w:tcPr>
          <w:p>
            <w:pPr>
              <w:spacing w:line="0" w:lineRule="atLeast"/>
              <w:jc w:val="center"/>
              <w:rPr>
                <w:rFonts w:hint="eastAsia" w:ascii="宋体" w:hAnsi="宋体"/>
                <w:color w:val="auto"/>
                <w:sz w:val="18"/>
              </w:rPr>
            </w:pPr>
            <w:r>
              <w:rPr>
                <w:rFonts w:hint="eastAsia" w:ascii="宋体" w:hAnsi="宋体"/>
                <w:color w:val="auto"/>
                <w:sz w:val="18"/>
              </w:rPr>
              <w:t>专票联系人</w:t>
            </w:r>
          </w:p>
        </w:tc>
        <w:tc>
          <w:tcPr>
            <w:tcW w:w="2715" w:type="dxa"/>
            <w:gridSpan w:val="2"/>
            <w:vAlign w:val="center"/>
          </w:tcPr>
          <w:p>
            <w:pPr>
              <w:spacing w:line="0" w:lineRule="atLeast"/>
              <w:rPr>
                <w:rFonts w:hint="eastAsia" w:ascii="宋体" w:hAnsi="宋体"/>
                <w:color w:val="auto"/>
                <w:sz w:val="18"/>
              </w:rPr>
            </w:pPr>
          </w:p>
        </w:tc>
        <w:tc>
          <w:tcPr>
            <w:tcW w:w="1680" w:type="dxa"/>
            <w:gridSpan w:val="4"/>
            <w:vAlign w:val="center"/>
          </w:tcPr>
          <w:p>
            <w:pPr>
              <w:spacing w:line="0" w:lineRule="atLeast"/>
              <w:jc w:val="center"/>
              <w:rPr>
                <w:rFonts w:hint="eastAsia" w:ascii="宋体" w:hAnsi="宋体"/>
                <w:color w:val="auto"/>
                <w:sz w:val="18"/>
              </w:rPr>
            </w:pPr>
            <w:r>
              <w:rPr>
                <w:rFonts w:hint="eastAsia" w:ascii="宋体" w:hAnsi="宋体"/>
                <w:color w:val="auto"/>
                <w:sz w:val="18"/>
              </w:rPr>
              <w:t>联系人手机号</w:t>
            </w:r>
          </w:p>
        </w:tc>
        <w:tc>
          <w:tcPr>
            <w:tcW w:w="4341" w:type="dxa"/>
            <w:gridSpan w:val="6"/>
            <w:vAlign w:val="center"/>
          </w:tcPr>
          <w:p>
            <w:pPr>
              <w:spacing w:line="0" w:lineRule="atLeast"/>
              <w:rPr>
                <w:rFonts w:hint="eastAsia" w:ascii="宋体" w:hAnsi="宋体"/>
                <w:color w:val="auto"/>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exact"/>
          <w:jc w:val="center"/>
        </w:trPr>
        <w:tc>
          <w:tcPr>
            <w:tcW w:w="1664" w:type="dxa"/>
            <w:gridSpan w:val="2"/>
            <w:vAlign w:val="center"/>
          </w:tcPr>
          <w:p>
            <w:pPr>
              <w:spacing w:line="0" w:lineRule="atLeast"/>
              <w:jc w:val="center"/>
              <w:rPr>
                <w:rFonts w:hint="eastAsia" w:ascii="宋体" w:hAnsi="宋体"/>
                <w:color w:val="auto"/>
                <w:sz w:val="18"/>
              </w:rPr>
            </w:pPr>
            <w:r>
              <w:rPr>
                <w:rFonts w:hint="eastAsia" w:ascii="宋体" w:hAnsi="宋体"/>
                <w:color w:val="auto"/>
                <w:sz w:val="18"/>
              </w:rPr>
              <w:t>联系人固定电话</w:t>
            </w:r>
          </w:p>
        </w:tc>
        <w:tc>
          <w:tcPr>
            <w:tcW w:w="2715" w:type="dxa"/>
            <w:gridSpan w:val="2"/>
            <w:vAlign w:val="center"/>
          </w:tcPr>
          <w:p>
            <w:pPr>
              <w:spacing w:line="0" w:lineRule="atLeast"/>
              <w:rPr>
                <w:rFonts w:hint="eastAsia" w:ascii="宋体" w:hAnsi="宋体"/>
                <w:color w:val="auto"/>
                <w:sz w:val="18"/>
              </w:rPr>
            </w:pPr>
          </w:p>
        </w:tc>
        <w:tc>
          <w:tcPr>
            <w:tcW w:w="1680" w:type="dxa"/>
            <w:gridSpan w:val="4"/>
            <w:vAlign w:val="center"/>
          </w:tcPr>
          <w:p>
            <w:pPr>
              <w:spacing w:line="0" w:lineRule="atLeast"/>
              <w:jc w:val="center"/>
              <w:rPr>
                <w:rFonts w:hint="eastAsia" w:ascii="宋体" w:hAnsi="宋体"/>
                <w:color w:val="auto"/>
                <w:sz w:val="18"/>
              </w:rPr>
            </w:pPr>
            <w:r>
              <w:rPr>
                <w:rFonts w:hint="eastAsia" w:ascii="宋体" w:hAnsi="宋体"/>
                <w:color w:val="auto"/>
                <w:sz w:val="18"/>
              </w:rPr>
              <w:t>电子账单接收邮箱</w:t>
            </w:r>
          </w:p>
        </w:tc>
        <w:tc>
          <w:tcPr>
            <w:tcW w:w="4341" w:type="dxa"/>
            <w:gridSpan w:val="6"/>
            <w:vAlign w:val="center"/>
          </w:tcPr>
          <w:p>
            <w:pPr>
              <w:spacing w:line="0" w:lineRule="atLeast"/>
              <w:rPr>
                <w:rFonts w:hint="eastAsia" w:ascii="宋体" w:hAnsi="宋体"/>
                <w:color w:val="auto"/>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exact"/>
          <w:jc w:val="center"/>
        </w:trPr>
        <w:tc>
          <w:tcPr>
            <w:tcW w:w="1664" w:type="dxa"/>
            <w:gridSpan w:val="2"/>
            <w:vAlign w:val="center"/>
          </w:tcPr>
          <w:p>
            <w:pPr>
              <w:spacing w:line="0" w:lineRule="atLeast"/>
              <w:jc w:val="center"/>
              <w:rPr>
                <w:rFonts w:hint="eastAsia" w:ascii="宋体" w:hAnsi="宋体"/>
                <w:color w:val="auto"/>
                <w:sz w:val="18"/>
              </w:rPr>
            </w:pPr>
            <w:r>
              <w:rPr>
                <w:rFonts w:hint="eastAsia" w:ascii="宋体" w:hAnsi="宋体"/>
                <w:color w:val="auto"/>
                <w:sz w:val="18"/>
                <w:szCs w:val="18"/>
              </w:rPr>
              <w:t>发票寄送地址</w:t>
            </w:r>
          </w:p>
        </w:tc>
        <w:tc>
          <w:tcPr>
            <w:tcW w:w="8736" w:type="dxa"/>
            <w:gridSpan w:val="12"/>
            <w:vAlign w:val="center"/>
          </w:tcPr>
          <w:p>
            <w:pPr>
              <w:spacing w:line="0" w:lineRule="atLeast"/>
              <w:rPr>
                <w:rFonts w:hint="eastAsia" w:ascii="宋体" w:hAnsi="宋体"/>
                <w:color w:val="auto"/>
                <w:sz w:val="18"/>
              </w:rPr>
            </w:pPr>
          </w:p>
        </w:tc>
      </w:tr>
    </w:tbl>
    <w:p>
      <w:pPr>
        <w:pStyle w:val="12"/>
        <w:numPr>
          <w:ilvl w:val="0"/>
          <w:numId w:val="1"/>
        </w:numPr>
        <w:spacing w:line="360" w:lineRule="auto"/>
        <w:ind w:firstLineChars="0"/>
        <w:rPr>
          <w:rFonts w:hint="eastAsia"/>
          <w:b/>
          <w:bCs/>
          <w:sz w:val="18"/>
        </w:rPr>
      </w:pPr>
      <w:r>
        <w:rPr>
          <w:rFonts w:hint="eastAsia"/>
          <w:b/>
          <w:bCs/>
          <w:sz w:val="18"/>
        </w:rPr>
        <w:t>被保险人资料</w:t>
      </w:r>
    </w:p>
    <w:tbl>
      <w:tblPr>
        <w:tblStyle w:val="11"/>
        <w:tblW w:w="1038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6"/>
        <w:gridCol w:w="1707"/>
        <w:gridCol w:w="71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87" w:hRule="exact"/>
          <w:jc w:val="center"/>
        </w:trPr>
        <w:tc>
          <w:tcPr>
            <w:tcW w:w="1566" w:type="dxa"/>
            <w:vAlign w:val="center"/>
          </w:tcPr>
          <w:p>
            <w:pPr>
              <w:jc w:val="center"/>
              <w:rPr>
                <w:rFonts w:hint="eastAsia" w:ascii="宋体" w:hAnsi="宋体"/>
                <w:sz w:val="18"/>
              </w:rPr>
            </w:pPr>
            <w:r>
              <w:rPr>
                <w:rFonts w:hint="eastAsia" w:ascii="宋体" w:hAnsi="宋体"/>
                <w:sz w:val="18"/>
              </w:rPr>
              <w:t>被保险人人数</w:t>
            </w:r>
          </w:p>
        </w:tc>
        <w:tc>
          <w:tcPr>
            <w:tcW w:w="1707" w:type="dxa"/>
            <w:vAlign w:val="center"/>
          </w:tcPr>
          <w:p>
            <w:pPr>
              <w:jc w:val="center"/>
              <w:rPr>
                <w:rFonts w:hint="eastAsia" w:ascii="宋体" w:hAnsi="宋体"/>
                <w:sz w:val="18"/>
              </w:rPr>
            </w:pPr>
            <w:r>
              <w:rPr>
                <w:rFonts w:hint="eastAsia" w:ascii="宋体" w:hAnsi="宋体"/>
                <w:sz w:val="18"/>
              </w:rPr>
              <w:t xml:space="preserve">           人</w:t>
            </w:r>
          </w:p>
        </w:tc>
        <w:tc>
          <w:tcPr>
            <w:tcW w:w="7108" w:type="dxa"/>
            <w:vAlign w:val="center"/>
          </w:tcPr>
          <w:p>
            <w:pPr>
              <w:rPr>
                <w:rFonts w:hint="eastAsia" w:ascii="宋体" w:hAnsi="宋体"/>
                <w:sz w:val="18"/>
              </w:rPr>
            </w:pPr>
            <w:r>
              <w:rPr>
                <w:rFonts w:hint="eastAsia" w:ascii="宋体" w:hAnsi="宋体"/>
                <w:sz w:val="18"/>
              </w:rPr>
              <w:t>按被保险人人数投保时，每一被保险人基本信息详见《团体被保险人清单》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87" w:hRule="exact"/>
          <w:jc w:val="center"/>
        </w:trPr>
        <w:tc>
          <w:tcPr>
            <w:tcW w:w="1566" w:type="dxa"/>
            <w:vAlign w:val="center"/>
          </w:tcPr>
          <w:p>
            <w:pPr>
              <w:jc w:val="center"/>
              <w:rPr>
                <w:rFonts w:hint="eastAsia" w:ascii="宋体" w:hAnsi="宋体"/>
                <w:sz w:val="18"/>
              </w:rPr>
            </w:pPr>
            <w:r>
              <w:rPr>
                <w:rFonts w:hint="eastAsia" w:ascii="宋体" w:hAnsi="宋体"/>
                <w:sz w:val="18"/>
              </w:rPr>
              <w:t>其他说明事项</w:t>
            </w:r>
          </w:p>
        </w:tc>
        <w:tc>
          <w:tcPr>
            <w:tcW w:w="8815" w:type="dxa"/>
            <w:gridSpan w:val="2"/>
            <w:vAlign w:val="center"/>
          </w:tcPr>
          <w:p>
            <w:pPr>
              <w:rPr>
                <w:rFonts w:hint="eastAsia" w:ascii="宋体" w:hAnsi="宋体"/>
                <w:sz w:val="18"/>
              </w:rPr>
            </w:pPr>
          </w:p>
        </w:tc>
      </w:tr>
    </w:tbl>
    <w:p>
      <w:pPr>
        <w:pStyle w:val="12"/>
        <w:numPr>
          <w:ilvl w:val="0"/>
          <w:numId w:val="1"/>
        </w:numPr>
        <w:spacing w:line="360" w:lineRule="auto"/>
        <w:ind w:firstLineChars="0"/>
        <w:rPr>
          <w:rFonts w:hint="eastAsia"/>
          <w:b/>
          <w:bCs/>
          <w:sz w:val="18"/>
        </w:rPr>
      </w:pPr>
      <w:r>
        <w:rPr>
          <w:rFonts w:hint="eastAsia"/>
          <w:b/>
          <w:bCs/>
          <w:sz w:val="18"/>
        </w:rPr>
        <w:t>受益人资料</w:t>
      </w:r>
    </w:p>
    <w:tbl>
      <w:tblPr>
        <w:tblStyle w:val="11"/>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20" w:type="dxa"/>
            <w:tcBorders>
              <w:top w:val="single" w:color="auto" w:sz="12" w:space="0"/>
              <w:left w:val="single" w:color="auto" w:sz="12" w:space="0"/>
              <w:bottom w:val="single" w:color="auto" w:sz="12" w:space="0"/>
              <w:right w:val="single" w:color="auto" w:sz="12" w:space="0"/>
            </w:tcBorders>
            <w:vAlign w:val="top"/>
          </w:tcPr>
          <w:p>
            <w:pPr>
              <w:spacing w:line="360" w:lineRule="auto"/>
              <w:rPr>
                <w:b/>
                <w:bCs/>
                <w:sz w:val="18"/>
              </w:rPr>
            </w:pPr>
            <w:r>
              <w:rPr>
                <w:rFonts w:hint="eastAsia"/>
                <w:sz w:val="18"/>
              </w:rPr>
              <w:t>本保险的身故保险金受益人由被保险人或投保人指定。（团体投保受益人</w:t>
            </w:r>
            <w:r>
              <w:rPr>
                <w:rFonts w:hint="eastAsia" w:ascii="宋体" w:hAnsi="宋体"/>
                <w:sz w:val="18"/>
              </w:rPr>
              <w:t>详见《团体被保险人清单》）</w:t>
            </w:r>
            <w:r>
              <w:rPr>
                <w:rFonts w:hint="eastAsia"/>
                <w:sz w:val="18"/>
              </w:rPr>
              <w:t>。</w:t>
            </w:r>
          </w:p>
        </w:tc>
      </w:tr>
    </w:tbl>
    <w:p>
      <w:pPr>
        <w:pStyle w:val="12"/>
        <w:numPr>
          <w:ilvl w:val="0"/>
          <w:numId w:val="1"/>
        </w:numPr>
        <w:spacing w:line="360" w:lineRule="auto"/>
        <w:ind w:firstLineChars="0"/>
        <w:rPr>
          <w:rFonts w:hint="eastAsia" w:ascii="宋体"/>
          <w:b/>
          <w:bCs/>
          <w:sz w:val="18"/>
        </w:rPr>
      </w:pPr>
      <w:r>
        <w:rPr>
          <w:rFonts w:hint="eastAsia" w:ascii="宋体"/>
          <w:b/>
          <w:bCs/>
          <w:sz w:val="18"/>
        </w:rPr>
        <w:t>投保内容</w:t>
      </w:r>
    </w:p>
    <w:tbl>
      <w:tblPr>
        <w:tblStyle w:val="11"/>
        <w:tblW w:w="104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68"/>
        <w:gridCol w:w="9"/>
        <w:gridCol w:w="2121"/>
        <w:gridCol w:w="1374"/>
        <w:gridCol w:w="1138"/>
        <w:gridCol w:w="306"/>
        <w:gridCol w:w="941"/>
        <w:gridCol w:w="132"/>
        <w:gridCol w:w="946"/>
        <w:gridCol w:w="16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atLeast"/>
          <w:jc w:val="center"/>
        </w:trPr>
        <w:tc>
          <w:tcPr>
            <w:tcW w:w="1768" w:type="dxa"/>
            <w:vAlign w:val="center"/>
          </w:tcPr>
          <w:p>
            <w:pPr>
              <w:rPr>
                <w:rFonts w:hint="eastAsia"/>
                <w:sz w:val="18"/>
              </w:rPr>
            </w:pPr>
            <w:r>
              <w:rPr>
                <w:rFonts w:hint="eastAsia"/>
                <w:sz w:val="18"/>
              </w:rPr>
              <w:t>施工项目名称</w:t>
            </w:r>
          </w:p>
        </w:tc>
        <w:tc>
          <w:tcPr>
            <w:tcW w:w="8640" w:type="dxa"/>
            <w:gridSpan w:val="9"/>
            <w:vAlign w:val="top"/>
          </w:tcPr>
          <w:p>
            <w:pPr>
              <w:rPr>
                <w:rFonts w:hint="eastAsia" w:ascii="宋体" w:hAnsi="宋体"/>
                <w:sz w:val="18"/>
              </w:rPr>
            </w:pPr>
            <w:r>
              <w:rPr>
                <w:rFonts w:hint="eastAsia" w:ascii="宋体" w:hAnsi="宋体"/>
                <w:sz w:val="18"/>
              </w:rPr>
              <w:t>东泰物流新办公室装修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atLeast"/>
          <w:jc w:val="center"/>
        </w:trPr>
        <w:tc>
          <w:tcPr>
            <w:tcW w:w="1768" w:type="dxa"/>
            <w:vAlign w:val="center"/>
          </w:tcPr>
          <w:p>
            <w:pPr>
              <w:rPr>
                <w:rFonts w:hint="eastAsia"/>
                <w:sz w:val="18"/>
              </w:rPr>
            </w:pPr>
            <w:r>
              <w:rPr>
                <w:rFonts w:hint="eastAsia"/>
                <w:sz w:val="18"/>
              </w:rPr>
              <w:t>施工项目地址</w:t>
            </w:r>
          </w:p>
        </w:tc>
        <w:tc>
          <w:tcPr>
            <w:tcW w:w="8640" w:type="dxa"/>
            <w:gridSpan w:val="9"/>
            <w:vAlign w:val="top"/>
          </w:tcPr>
          <w:p>
            <w:pPr>
              <w:rPr>
                <w:rFonts w:hint="eastAsia" w:ascii="宋体" w:hAnsi="宋体"/>
                <w:sz w:val="18"/>
              </w:rPr>
            </w:pPr>
            <w:r>
              <w:rPr>
                <w:rFonts w:hint="eastAsia" w:ascii="宋体" w:hAnsi="宋体" w:eastAsia="宋体"/>
                <w:sz w:val="24"/>
              </w:rPr>
              <w:t>深圳市坪山区深圳出口加荔景北路3号海翔工业园A-2栋3楼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jc w:val="center"/>
        </w:trPr>
        <w:tc>
          <w:tcPr>
            <w:tcW w:w="1768" w:type="dxa"/>
            <w:vAlign w:val="center"/>
          </w:tcPr>
          <w:p>
            <w:pPr>
              <w:rPr>
                <w:rFonts w:hint="eastAsia"/>
                <w:sz w:val="18"/>
              </w:rPr>
            </w:pPr>
            <w:r>
              <w:rPr>
                <w:rFonts w:hint="eastAsia"/>
                <w:sz w:val="18"/>
              </w:rPr>
              <w:t>施工项目预计期限</w:t>
            </w:r>
          </w:p>
        </w:tc>
        <w:tc>
          <w:tcPr>
            <w:tcW w:w="8640" w:type="dxa"/>
            <w:gridSpan w:val="9"/>
            <w:vAlign w:val="bottom"/>
          </w:tcPr>
          <w:p>
            <w:pPr>
              <w:rPr>
                <w:rFonts w:hint="eastAsia" w:ascii="宋体" w:hAnsi="宋体"/>
                <w:sz w:val="18"/>
              </w:rPr>
            </w:pPr>
            <w:r>
              <w:rPr>
                <w:rFonts w:hint="eastAsia" w:ascii="宋体" w:hAnsi="宋体"/>
                <w:sz w:val="18"/>
                <w:u w:val="single"/>
              </w:rPr>
              <w:t xml:space="preserve">            </w:t>
            </w:r>
            <w:r>
              <w:rPr>
                <w:rFonts w:hint="eastAsia" w:ascii="宋体" w:hAnsi="宋体"/>
                <w:sz w:val="18"/>
              </w:rPr>
              <w:t>年</w:t>
            </w:r>
            <w:r>
              <w:rPr>
                <w:rFonts w:hint="eastAsia" w:ascii="宋体" w:hAnsi="宋体"/>
                <w:sz w:val="18"/>
                <w:u w:val="single"/>
              </w:rPr>
              <w:t xml:space="preserve">            </w:t>
            </w:r>
            <w:r>
              <w:rPr>
                <w:rFonts w:hint="eastAsia" w:ascii="宋体" w:hAnsi="宋体"/>
                <w:sz w:val="18"/>
              </w:rPr>
              <w:t>个</w:t>
            </w:r>
            <w:r>
              <w:rPr>
                <w:rFonts w:hint="eastAsia" w:ascii="宋体" w:hAnsi="宋体"/>
                <w:sz w:val="18"/>
                <w:lang w:val="en-US" w:eastAsia="zh-CN"/>
              </w:rPr>
              <w:t xml:space="preserve"> </w:t>
            </w:r>
            <w:r>
              <w:rPr>
                <w:rFonts w:hint="eastAsia" w:ascii="宋体" w:hAnsi="宋体"/>
                <w:sz w:val="18"/>
                <w:u w:val="single"/>
                <w:lang w:val="en-US" w:eastAsia="zh-CN"/>
              </w:rPr>
              <w:t>60</w:t>
            </w:r>
            <w:r>
              <w:rPr>
                <w:rFonts w:hint="eastAsia" w:ascii="宋体" w:hAnsi="宋体"/>
                <w:sz w:val="18"/>
                <w:u w:val="single"/>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atLeast"/>
          <w:jc w:val="center"/>
        </w:trPr>
        <w:tc>
          <w:tcPr>
            <w:tcW w:w="10408" w:type="dxa"/>
            <w:gridSpan w:val="10"/>
            <w:vAlign w:val="top"/>
          </w:tcPr>
          <w:p>
            <w:pPr>
              <w:jc w:val="center"/>
              <w:rPr>
                <w:rFonts w:hint="eastAsia"/>
                <w:sz w:val="18"/>
              </w:rPr>
            </w:pPr>
            <w:r>
              <w:rPr>
                <w:rFonts w:hint="eastAsia"/>
                <w:b/>
                <w:bCs/>
                <w:sz w:val="18"/>
              </w:rPr>
              <w:t>主       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atLeast"/>
          <w:jc w:val="center"/>
        </w:trPr>
        <w:tc>
          <w:tcPr>
            <w:tcW w:w="1777" w:type="dxa"/>
            <w:gridSpan w:val="2"/>
            <w:vAlign w:val="top"/>
          </w:tcPr>
          <w:p>
            <w:pPr>
              <w:rPr>
                <w:rFonts w:hint="eastAsia"/>
                <w:sz w:val="18"/>
              </w:rPr>
            </w:pPr>
            <w:r>
              <w:rPr>
                <w:rFonts w:hint="eastAsia" w:ascii="宋体" w:hAnsi="宋体"/>
                <w:sz w:val="18"/>
              </w:rPr>
              <w:t>□</w:t>
            </w:r>
            <w:r>
              <w:rPr>
                <w:rFonts w:hint="eastAsia"/>
                <w:sz w:val="18"/>
              </w:rPr>
              <w:t>按</w:t>
            </w:r>
            <w:r>
              <w:rPr>
                <w:rFonts w:hint="eastAsia"/>
                <w:b/>
                <w:sz w:val="18"/>
              </w:rPr>
              <w:t>人数</w:t>
            </w:r>
            <w:r>
              <w:rPr>
                <w:rFonts w:hint="eastAsia"/>
                <w:sz w:val="18"/>
              </w:rPr>
              <w:t>投保</w:t>
            </w:r>
          </w:p>
        </w:tc>
        <w:tc>
          <w:tcPr>
            <w:tcW w:w="2121" w:type="dxa"/>
            <w:vAlign w:val="top"/>
          </w:tcPr>
          <w:p>
            <w:pPr>
              <w:ind w:left="87"/>
              <w:rPr>
                <w:rFonts w:hint="eastAsia"/>
                <w:sz w:val="18"/>
              </w:rPr>
            </w:pPr>
            <w:r>
              <w:rPr>
                <w:rFonts w:hint="eastAsia"/>
                <w:sz w:val="18"/>
              </w:rPr>
              <w:t>保险金额（元）</w:t>
            </w:r>
          </w:p>
        </w:tc>
        <w:tc>
          <w:tcPr>
            <w:tcW w:w="1374" w:type="dxa"/>
            <w:vAlign w:val="top"/>
          </w:tcPr>
          <w:p>
            <w:pPr>
              <w:ind w:firstLine="180" w:firstLineChars="100"/>
              <w:rPr>
                <w:rFonts w:hint="eastAsia"/>
                <w:sz w:val="18"/>
              </w:rPr>
            </w:pPr>
          </w:p>
        </w:tc>
        <w:tc>
          <w:tcPr>
            <w:tcW w:w="1444" w:type="dxa"/>
            <w:gridSpan w:val="2"/>
            <w:vAlign w:val="top"/>
          </w:tcPr>
          <w:p>
            <w:pPr>
              <w:rPr>
                <w:rFonts w:hint="eastAsia"/>
                <w:sz w:val="18"/>
              </w:rPr>
            </w:pPr>
            <w:r>
              <w:rPr>
                <w:rFonts w:hint="eastAsia"/>
                <w:sz w:val="18"/>
              </w:rPr>
              <w:t>费率</w:t>
            </w:r>
          </w:p>
        </w:tc>
        <w:tc>
          <w:tcPr>
            <w:tcW w:w="941" w:type="dxa"/>
            <w:vAlign w:val="top"/>
          </w:tcPr>
          <w:p>
            <w:pPr>
              <w:rPr>
                <w:rFonts w:hint="eastAsia"/>
                <w:sz w:val="18"/>
              </w:rPr>
            </w:pPr>
          </w:p>
        </w:tc>
        <w:tc>
          <w:tcPr>
            <w:tcW w:w="1078" w:type="dxa"/>
            <w:gridSpan w:val="2"/>
            <w:vAlign w:val="top"/>
          </w:tcPr>
          <w:p>
            <w:pPr>
              <w:rPr>
                <w:rFonts w:hint="eastAsia"/>
                <w:sz w:val="18"/>
              </w:rPr>
            </w:pPr>
            <w:r>
              <w:rPr>
                <w:rFonts w:hint="eastAsia"/>
                <w:sz w:val="18"/>
              </w:rPr>
              <w:t>保费（元）</w:t>
            </w:r>
          </w:p>
        </w:tc>
        <w:tc>
          <w:tcPr>
            <w:tcW w:w="1673" w:type="dxa"/>
            <w:vAlign w:val="top"/>
          </w:tcPr>
          <w:p>
            <w:pPr>
              <w:rPr>
                <w:rFonts w:hint="eastAsia"/>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atLeast"/>
          <w:jc w:val="center"/>
        </w:trPr>
        <w:tc>
          <w:tcPr>
            <w:tcW w:w="1777" w:type="dxa"/>
            <w:gridSpan w:val="2"/>
            <w:vMerge w:val="restart"/>
            <w:vAlign w:val="top"/>
          </w:tcPr>
          <w:p>
            <w:pPr>
              <w:rPr>
                <w:rFonts w:hint="eastAsia"/>
                <w:sz w:val="18"/>
              </w:rPr>
            </w:pPr>
            <w:r>
              <w:rPr>
                <w:rFonts w:hint="eastAsia" w:ascii="宋体" w:hAnsi="宋体"/>
                <w:sz w:val="18"/>
              </w:rPr>
              <w:t>□</w:t>
            </w:r>
            <w:r>
              <w:rPr>
                <w:rFonts w:hint="eastAsia"/>
                <w:sz w:val="18"/>
              </w:rPr>
              <w:t>按</w:t>
            </w:r>
            <w:r>
              <w:rPr>
                <w:rFonts w:hint="eastAsia"/>
                <w:b/>
                <w:sz w:val="18"/>
              </w:rPr>
              <w:t>工程造价</w:t>
            </w:r>
            <w:r>
              <w:rPr>
                <w:rFonts w:hint="eastAsia"/>
                <w:sz w:val="18"/>
              </w:rPr>
              <w:t>投保</w:t>
            </w:r>
          </w:p>
        </w:tc>
        <w:tc>
          <w:tcPr>
            <w:tcW w:w="2121" w:type="dxa"/>
            <w:vAlign w:val="top"/>
          </w:tcPr>
          <w:p>
            <w:pPr>
              <w:ind w:left="102"/>
              <w:rPr>
                <w:rFonts w:hint="eastAsia"/>
                <w:sz w:val="18"/>
              </w:rPr>
            </w:pPr>
            <w:r>
              <w:rPr>
                <w:rFonts w:hint="eastAsia"/>
                <w:spacing w:val="-8"/>
                <w:sz w:val="18"/>
              </w:rPr>
              <w:t>工程造价（万元）</w:t>
            </w:r>
          </w:p>
        </w:tc>
        <w:tc>
          <w:tcPr>
            <w:tcW w:w="1374" w:type="dxa"/>
            <w:vAlign w:val="top"/>
          </w:tcPr>
          <w:p>
            <w:pPr>
              <w:ind w:firstLine="180" w:firstLineChars="100"/>
              <w:rPr>
                <w:rFonts w:hint="eastAsia" w:eastAsia="宋体"/>
                <w:sz w:val="18"/>
                <w:lang w:val="en-US" w:eastAsia="zh-CN"/>
              </w:rPr>
            </w:pPr>
            <w:r>
              <w:rPr>
                <w:rFonts w:hint="eastAsia"/>
                <w:spacing w:val="-8"/>
                <w:sz w:val="18"/>
                <w:lang w:val="en-US" w:eastAsia="zh-CN"/>
              </w:rPr>
              <w:t xml:space="preserve">       </w:t>
            </w:r>
            <w:r>
              <w:rPr>
                <w:rFonts w:hint="eastAsia" w:ascii="楷体" w:hAnsi="楷体" w:eastAsia="楷体" w:cs="楷体"/>
                <w:i w:val="0"/>
                <w:color w:val="000000"/>
                <w:sz w:val="24"/>
                <w:szCs w:val="24"/>
                <w:u w:val="none"/>
                <w:lang w:val="en-US" w:eastAsia="zh-CN"/>
              </w:rPr>
              <w:t>453725</w:t>
            </w:r>
            <w:r>
              <w:rPr>
                <w:rFonts w:hint="eastAsia"/>
                <w:spacing w:val="-8"/>
                <w:sz w:val="18"/>
                <w:lang w:val="en-US" w:eastAsia="zh-CN"/>
              </w:rPr>
              <w:t>元</w:t>
            </w:r>
          </w:p>
        </w:tc>
        <w:tc>
          <w:tcPr>
            <w:tcW w:w="1444" w:type="dxa"/>
            <w:gridSpan w:val="2"/>
            <w:vAlign w:val="top"/>
          </w:tcPr>
          <w:p>
            <w:pPr>
              <w:rPr>
                <w:rFonts w:hint="eastAsia"/>
                <w:sz w:val="18"/>
              </w:rPr>
            </w:pPr>
            <w:r>
              <w:rPr>
                <w:rFonts w:hint="eastAsia"/>
                <w:sz w:val="18"/>
              </w:rPr>
              <w:t>保险金额/人</w:t>
            </w:r>
          </w:p>
        </w:tc>
        <w:tc>
          <w:tcPr>
            <w:tcW w:w="3692" w:type="dxa"/>
            <w:gridSpan w:val="4"/>
            <w:vAlign w:val="top"/>
          </w:tcPr>
          <w:p>
            <w:pPr>
              <w:rPr>
                <w:rFonts w:hint="eastAsia"/>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atLeast"/>
          <w:jc w:val="center"/>
        </w:trPr>
        <w:tc>
          <w:tcPr>
            <w:tcW w:w="1777" w:type="dxa"/>
            <w:gridSpan w:val="2"/>
            <w:vMerge w:val="continue"/>
            <w:vAlign w:val="top"/>
          </w:tcPr>
          <w:p>
            <w:pPr>
              <w:rPr>
                <w:rFonts w:hint="eastAsia" w:ascii="宋体" w:hAnsi="宋体"/>
                <w:sz w:val="18"/>
              </w:rPr>
            </w:pPr>
          </w:p>
        </w:tc>
        <w:tc>
          <w:tcPr>
            <w:tcW w:w="2121" w:type="dxa"/>
            <w:vAlign w:val="top"/>
          </w:tcPr>
          <w:p>
            <w:pPr>
              <w:ind w:left="102"/>
              <w:rPr>
                <w:rFonts w:hint="eastAsia"/>
                <w:spacing w:val="-8"/>
                <w:sz w:val="18"/>
              </w:rPr>
            </w:pPr>
            <w:r>
              <w:rPr>
                <w:rFonts w:hint="eastAsia"/>
                <w:sz w:val="18"/>
              </w:rPr>
              <w:t>费率</w:t>
            </w:r>
          </w:p>
        </w:tc>
        <w:tc>
          <w:tcPr>
            <w:tcW w:w="1374" w:type="dxa"/>
            <w:vAlign w:val="top"/>
          </w:tcPr>
          <w:p>
            <w:pPr>
              <w:ind w:firstLine="180" w:firstLineChars="100"/>
              <w:rPr>
                <w:rFonts w:hint="eastAsia" w:eastAsiaTheme="minorEastAsia"/>
                <w:sz w:val="18"/>
                <w:lang w:val="en-US" w:eastAsia="zh-CN"/>
              </w:rPr>
            </w:pPr>
          </w:p>
        </w:tc>
        <w:tc>
          <w:tcPr>
            <w:tcW w:w="1444" w:type="dxa"/>
            <w:gridSpan w:val="2"/>
            <w:vAlign w:val="top"/>
          </w:tcPr>
          <w:p>
            <w:pPr>
              <w:rPr>
                <w:rFonts w:hint="eastAsia"/>
                <w:sz w:val="18"/>
              </w:rPr>
            </w:pPr>
            <w:r>
              <w:rPr>
                <w:rFonts w:hint="eastAsia"/>
                <w:sz w:val="18"/>
              </w:rPr>
              <w:t>保费（元）</w:t>
            </w:r>
          </w:p>
        </w:tc>
        <w:tc>
          <w:tcPr>
            <w:tcW w:w="3692" w:type="dxa"/>
            <w:gridSpan w:val="4"/>
            <w:vAlign w:val="top"/>
          </w:tcPr>
          <w:p>
            <w:pPr>
              <w:rPr>
                <w:rFonts w:hint="eastAsia"/>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atLeast"/>
          <w:jc w:val="center"/>
        </w:trPr>
        <w:tc>
          <w:tcPr>
            <w:tcW w:w="1777" w:type="dxa"/>
            <w:gridSpan w:val="2"/>
            <w:vMerge w:val="restart"/>
            <w:vAlign w:val="top"/>
          </w:tcPr>
          <w:p>
            <w:pPr>
              <w:rPr>
                <w:rFonts w:hint="eastAsia"/>
                <w:sz w:val="18"/>
              </w:rPr>
            </w:pPr>
            <w:r>
              <w:rPr>
                <w:rFonts w:hint="eastAsia" w:ascii="宋体" w:hAnsi="宋体"/>
                <w:sz w:val="18"/>
              </w:rPr>
              <w:t>□</w:t>
            </w:r>
            <w:r>
              <w:rPr>
                <w:rFonts w:hint="eastAsia"/>
                <w:sz w:val="18"/>
              </w:rPr>
              <w:t>按</w:t>
            </w:r>
            <w:r>
              <w:rPr>
                <w:rFonts w:hint="eastAsia"/>
                <w:b/>
                <w:sz w:val="18"/>
              </w:rPr>
              <w:t>建筑面积</w:t>
            </w:r>
            <w:r>
              <w:rPr>
                <w:rFonts w:hint="eastAsia"/>
                <w:sz w:val="18"/>
              </w:rPr>
              <w:t>投保</w:t>
            </w:r>
          </w:p>
        </w:tc>
        <w:tc>
          <w:tcPr>
            <w:tcW w:w="2121" w:type="dxa"/>
            <w:vAlign w:val="top"/>
          </w:tcPr>
          <w:p>
            <w:pPr>
              <w:rPr>
                <w:rFonts w:hint="eastAsia"/>
                <w:sz w:val="18"/>
              </w:rPr>
            </w:pPr>
            <w:r>
              <w:rPr>
                <w:rFonts w:hint="eastAsia"/>
                <w:sz w:val="18"/>
              </w:rPr>
              <w:t>建筑面积（平方米）</w:t>
            </w:r>
          </w:p>
        </w:tc>
        <w:tc>
          <w:tcPr>
            <w:tcW w:w="1374" w:type="dxa"/>
            <w:vAlign w:val="top"/>
          </w:tcPr>
          <w:p>
            <w:pPr>
              <w:ind w:firstLine="180" w:firstLineChars="100"/>
              <w:rPr>
                <w:rFonts w:hint="eastAsia"/>
                <w:sz w:val="18"/>
              </w:rPr>
            </w:pPr>
          </w:p>
        </w:tc>
        <w:tc>
          <w:tcPr>
            <w:tcW w:w="1444" w:type="dxa"/>
            <w:gridSpan w:val="2"/>
            <w:vAlign w:val="top"/>
          </w:tcPr>
          <w:p>
            <w:pPr>
              <w:rPr>
                <w:rFonts w:hint="eastAsia"/>
                <w:sz w:val="18"/>
              </w:rPr>
            </w:pPr>
            <w:r>
              <w:rPr>
                <w:rFonts w:hint="eastAsia"/>
                <w:sz w:val="18"/>
              </w:rPr>
              <w:t>保险金额/人</w:t>
            </w:r>
          </w:p>
        </w:tc>
        <w:tc>
          <w:tcPr>
            <w:tcW w:w="3692" w:type="dxa"/>
            <w:gridSpan w:val="4"/>
            <w:vAlign w:val="top"/>
          </w:tcPr>
          <w:p>
            <w:pPr>
              <w:rPr>
                <w:rFonts w:hint="eastAsia"/>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atLeast"/>
          <w:jc w:val="center"/>
        </w:trPr>
        <w:tc>
          <w:tcPr>
            <w:tcW w:w="1777" w:type="dxa"/>
            <w:gridSpan w:val="2"/>
            <w:vMerge w:val="continue"/>
            <w:vAlign w:val="top"/>
          </w:tcPr>
          <w:p>
            <w:pPr>
              <w:rPr>
                <w:rFonts w:hint="eastAsia" w:ascii="宋体" w:hAnsi="宋体"/>
                <w:sz w:val="18"/>
              </w:rPr>
            </w:pPr>
          </w:p>
        </w:tc>
        <w:tc>
          <w:tcPr>
            <w:tcW w:w="2121" w:type="dxa"/>
            <w:vAlign w:val="top"/>
          </w:tcPr>
          <w:p>
            <w:pPr>
              <w:rPr>
                <w:rFonts w:hint="eastAsia"/>
                <w:sz w:val="18"/>
              </w:rPr>
            </w:pPr>
            <w:r>
              <w:rPr>
                <w:rFonts w:hint="eastAsia"/>
                <w:sz w:val="18"/>
              </w:rPr>
              <w:t>收费标准（元/平方米）</w:t>
            </w:r>
          </w:p>
        </w:tc>
        <w:tc>
          <w:tcPr>
            <w:tcW w:w="1374" w:type="dxa"/>
            <w:vAlign w:val="top"/>
          </w:tcPr>
          <w:p>
            <w:pPr>
              <w:ind w:firstLine="180" w:firstLineChars="100"/>
              <w:rPr>
                <w:rFonts w:hint="eastAsia"/>
                <w:sz w:val="18"/>
              </w:rPr>
            </w:pPr>
          </w:p>
        </w:tc>
        <w:tc>
          <w:tcPr>
            <w:tcW w:w="1444" w:type="dxa"/>
            <w:gridSpan w:val="2"/>
            <w:vAlign w:val="top"/>
          </w:tcPr>
          <w:p>
            <w:pPr>
              <w:rPr>
                <w:rFonts w:hint="eastAsia"/>
                <w:sz w:val="18"/>
              </w:rPr>
            </w:pPr>
            <w:r>
              <w:rPr>
                <w:rFonts w:hint="eastAsia"/>
                <w:sz w:val="18"/>
              </w:rPr>
              <w:t>保费（元）</w:t>
            </w:r>
          </w:p>
        </w:tc>
        <w:tc>
          <w:tcPr>
            <w:tcW w:w="3692" w:type="dxa"/>
            <w:gridSpan w:val="4"/>
            <w:vAlign w:val="top"/>
          </w:tcPr>
          <w:p>
            <w:pPr>
              <w:rPr>
                <w:rFonts w:hint="eastAsia"/>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94" w:hRule="atLeast"/>
          <w:jc w:val="center"/>
        </w:trPr>
        <w:tc>
          <w:tcPr>
            <w:tcW w:w="10408" w:type="dxa"/>
            <w:gridSpan w:val="10"/>
            <w:vAlign w:val="top"/>
          </w:tcPr>
          <w:p>
            <w:pPr>
              <w:jc w:val="center"/>
              <w:rPr>
                <w:rFonts w:hint="eastAsia"/>
                <w:b/>
                <w:bCs/>
                <w:sz w:val="18"/>
              </w:rPr>
            </w:pPr>
            <w:r>
              <w:rPr>
                <w:rFonts w:hint="eastAsia"/>
                <w:b/>
                <w:bCs/>
                <w:sz w:val="18"/>
              </w:rPr>
              <w:t>附   加   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atLeast"/>
          <w:jc w:val="center"/>
        </w:trPr>
        <w:tc>
          <w:tcPr>
            <w:tcW w:w="3898" w:type="dxa"/>
            <w:gridSpan w:val="3"/>
            <w:vAlign w:val="center"/>
          </w:tcPr>
          <w:p>
            <w:pPr>
              <w:ind w:left="195"/>
              <w:jc w:val="center"/>
              <w:rPr>
                <w:rFonts w:hint="eastAsia"/>
                <w:sz w:val="18"/>
              </w:rPr>
            </w:pPr>
            <w:r>
              <w:rPr>
                <w:rFonts w:hint="eastAsia"/>
                <w:sz w:val="18"/>
                <w:szCs w:val="24"/>
              </w:rPr>
              <w:t>险种名称</w:t>
            </w:r>
          </w:p>
        </w:tc>
        <w:tc>
          <w:tcPr>
            <w:tcW w:w="2512" w:type="dxa"/>
            <w:gridSpan w:val="2"/>
            <w:vAlign w:val="top"/>
          </w:tcPr>
          <w:p>
            <w:pPr>
              <w:ind w:left="195"/>
              <w:jc w:val="center"/>
              <w:rPr>
                <w:rFonts w:hint="eastAsia"/>
                <w:sz w:val="18"/>
              </w:rPr>
            </w:pPr>
            <w:r>
              <w:rPr>
                <w:rFonts w:hint="eastAsia"/>
                <w:sz w:val="18"/>
              </w:rPr>
              <w:t>保险金额（元）</w:t>
            </w:r>
          </w:p>
        </w:tc>
        <w:tc>
          <w:tcPr>
            <w:tcW w:w="1379" w:type="dxa"/>
            <w:gridSpan w:val="3"/>
            <w:vAlign w:val="top"/>
          </w:tcPr>
          <w:p>
            <w:pPr>
              <w:pStyle w:val="8"/>
              <w:pBdr>
                <w:bottom w:val="none" w:color="auto" w:sz="0" w:space="0"/>
              </w:pBdr>
              <w:tabs>
                <w:tab w:val="clear" w:pos="4153"/>
                <w:tab w:val="clear" w:pos="8306"/>
              </w:tabs>
              <w:snapToGrid/>
              <w:rPr>
                <w:rFonts w:hint="eastAsia"/>
                <w:szCs w:val="24"/>
              </w:rPr>
            </w:pPr>
            <w:r>
              <w:rPr>
                <w:rFonts w:hint="eastAsia"/>
                <w:szCs w:val="24"/>
              </w:rPr>
              <w:t>费率</w:t>
            </w:r>
          </w:p>
        </w:tc>
        <w:tc>
          <w:tcPr>
            <w:tcW w:w="2619" w:type="dxa"/>
            <w:gridSpan w:val="2"/>
            <w:vAlign w:val="top"/>
          </w:tcPr>
          <w:p>
            <w:pPr>
              <w:ind w:left="15"/>
              <w:jc w:val="center"/>
              <w:rPr>
                <w:rFonts w:hint="eastAsia"/>
                <w:sz w:val="18"/>
              </w:rPr>
            </w:pPr>
            <w:r>
              <w:rPr>
                <w:rFonts w:hint="eastAsia"/>
                <w:sz w:val="18"/>
              </w:rPr>
              <w:t>保费（元）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atLeast"/>
          <w:jc w:val="center"/>
        </w:trPr>
        <w:tc>
          <w:tcPr>
            <w:tcW w:w="3898" w:type="dxa"/>
            <w:gridSpan w:val="3"/>
            <w:textDirection w:val="lrTb"/>
            <w:vAlign w:val="center"/>
          </w:tcPr>
          <w:p>
            <w:pPr>
              <w:widowControl/>
              <w:jc w:val="left"/>
              <w:textAlignment w:val="center"/>
              <w:rPr>
                <w:rFonts w:hint="eastAsia"/>
                <w:sz w:val="18"/>
              </w:rPr>
            </w:pPr>
            <w:r>
              <w:rPr>
                <w:rFonts w:hint="eastAsia" w:ascii="楷体" w:hAnsi="楷体" w:eastAsia="楷体" w:cs="楷体"/>
                <w:color w:val="000000"/>
                <w:kern w:val="0"/>
                <w:sz w:val="24"/>
                <w:lang w:bidi="ar"/>
              </w:rPr>
              <w:t>意外身故、残疾</w:t>
            </w:r>
          </w:p>
        </w:tc>
        <w:tc>
          <w:tcPr>
            <w:tcW w:w="2512" w:type="dxa"/>
            <w:gridSpan w:val="2"/>
            <w:vAlign w:val="top"/>
          </w:tcPr>
          <w:p>
            <w:pPr>
              <w:ind w:left="195"/>
              <w:jc w:val="both"/>
              <w:rPr>
                <w:rFonts w:hint="eastAsia"/>
                <w:sz w:val="18"/>
              </w:rPr>
            </w:pPr>
            <w:r>
              <w:rPr>
                <w:rFonts w:hint="eastAsia"/>
                <w:sz w:val="18"/>
                <w:lang w:val="en-US" w:eastAsia="zh-CN"/>
              </w:rPr>
              <w:t xml:space="preserve">     500,000.00</w:t>
            </w:r>
            <w:r>
              <w:rPr>
                <w:rFonts w:hint="eastAsia"/>
                <w:sz w:val="18"/>
              </w:rPr>
              <w:t>元</w:t>
            </w:r>
          </w:p>
        </w:tc>
        <w:tc>
          <w:tcPr>
            <w:tcW w:w="1379" w:type="dxa"/>
            <w:gridSpan w:val="3"/>
            <w:vAlign w:val="top"/>
          </w:tcPr>
          <w:p>
            <w:pPr>
              <w:jc w:val="center"/>
              <w:rPr>
                <w:rFonts w:hint="eastAsia"/>
                <w:b/>
                <w:bCs/>
                <w:sz w:val="18"/>
              </w:rPr>
            </w:pPr>
          </w:p>
        </w:tc>
        <w:tc>
          <w:tcPr>
            <w:tcW w:w="2619" w:type="dxa"/>
            <w:gridSpan w:val="2"/>
            <w:vAlign w:val="top"/>
          </w:tcPr>
          <w:p>
            <w:pPr>
              <w:jc w:val="center"/>
              <w:rPr>
                <w:rFonts w:hint="eastAsia"/>
                <w:b/>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atLeast"/>
          <w:jc w:val="center"/>
        </w:trPr>
        <w:tc>
          <w:tcPr>
            <w:tcW w:w="3898" w:type="dxa"/>
            <w:gridSpan w:val="3"/>
            <w:textDirection w:val="lrTb"/>
            <w:vAlign w:val="center"/>
          </w:tcPr>
          <w:p>
            <w:pPr>
              <w:widowControl/>
              <w:jc w:val="left"/>
              <w:textAlignment w:val="center"/>
              <w:rPr>
                <w:rFonts w:hint="eastAsia"/>
                <w:b/>
                <w:bCs/>
                <w:sz w:val="18"/>
              </w:rPr>
            </w:pPr>
            <w:r>
              <w:rPr>
                <w:rFonts w:hint="eastAsia" w:ascii="楷体" w:hAnsi="楷体" w:eastAsia="楷体" w:cs="楷体"/>
                <w:color w:val="000000"/>
                <w:kern w:val="0"/>
                <w:sz w:val="24"/>
                <w:lang w:bidi="ar"/>
              </w:rPr>
              <w:t>意外伤害医疗费用</w:t>
            </w:r>
          </w:p>
        </w:tc>
        <w:tc>
          <w:tcPr>
            <w:tcW w:w="2512" w:type="dxa"/>
            <w:gridSpan w:val="2"/>
            <w:vAlign w:val="top"/>
          </w:tcPr>
          <w:p>
            <w:pPr>
              <w:jc w:val="center"/>
              <w:rPr>
                <w:rFonts w:hint="eastAsia" w:eastAsia="宋体"/>
                <w:b/>
                <w:bCs/>
                <w:sz w:val="18"/>
                <w:lang w:val="en-US" w:eastAsia="zh-CN"/>
              </w:rPr>
            </w:pPr>
            <w:r>
              <w:rPr>
                <w:rFonts w:hint="eastAsia"/>
                <w:b/>
                <w:bCs/>
                <w:sz w:val="18"/>
                <w:lang w:val="en-US" w:eastAsia="zh-CN"/>
              </w:rPr>
              <w:t>50,000.00元</w:t>
            </w:r>
          </w:p>
        </w:tc>
        <w:tc>
          <w:tcPr>
            <w:tcW w:w="1379" w:type="dxa"/>
            <w:gridSpan w:val="3"/>
            <w:vAlign w:val="top"/>
          </w:tcPr>
          <w:p>
            <w:pPr>
              <w:jc w:val="center"/>
              <w:rPr>
                <w:rFonts w:hint="eastAsia"/>
                <w:b/>
                <w:bCs/>
                <w:sz w:val="18"/>
              </w:rPr>
            </w:pPr>
          </w:p>
        </w:tc>
        <w:tc>
          <w:tcPr>
            <w:tcW w:w="2619" w:type="dxa"/>
            <w:gridSpan w:val="2"/>
            <w:vAlign w:val="top"/>
          </w:tcPr>
          <w:p>
            <w:pPr>
              <w:jc w:val="center"/>
              <w:rPr>
                <w:rFonts w:hint="eastAsia"/>
                <w:b/>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atLeast"/>
          <w:jc w:val="center"/>
        </w:trPr>
        <w:tc>
          <w:tcPr>
            <w:tcW w:w="3898" w:type="dxa"/>
            <w:gridSpan w:val="3"/>
            <w:textDirection w:val="lrTb"/>
            <w:vAlign w:val="center"/>
          </w:tcPr>
          <w:p>
            <w:pPr>
              <w:widowControl/>
              <w:jc w:val="left"/>
              <w:textAlignment w:val="center"/>
              <w:rPr>
                <w:rFonts w:hint="eastAsia"/>
                <w:b/>
                <w:bCs/>
                <w:sz w:val="18"/>
              </w:rPr>
            </w:pPr>
            <w:r>
              <w:rPr>
                <w:rFonts w:hint="eastAsia" w:ascii="楷体" w:hAnsi="楷体" w:eastAsia="楷体" w:cs="楷体"/>
                <w:color w:val="000000"/>
                <w:kern w:val="0"/>
                <w:sz w:val="24"/>
                <w:lang w:bidi="ar"/>
              </w:rPr>
              <w:t>意外伤害住院津贴</w:t>
            </w:r>
          </w:p>
        </w:tc>
        <w:tc>
          <w:tcPr>
            <w:tcW w:w="2512" w:type="dxa"/>
            <w:gridSpan w:val="2"/>
            <w:vAlign w:val="top"/>
          </w:tcPr>
          <w:p>
            <w:pPr>
              <w:jc w:val="center"/>
              <w:rPr>
                <w:rFonts w:hint="eastAsia" w:eastAsia="宋体"/>
                <w:b/>
                <w:bCs/>
                <w:sz w:val="18"/>
                <w:lang w:val="en-US" w:eastAsia="zh-CN"/>
              </w:rPr>
            </w:pPr>
            <w:r>
              <w:rPr>
                <w:rFonts w:hint="eastAsia"/>
                <w:b/>
                <w:bCs/>
                <w:sz w:val="18"/>
                <w:lang w:val="en-US" w:eastAsia="zh-CN"/>
              </w:rPr>
              <w:t>18000元</w:t>
            </w:r>
          </w:p>
        </w:tc>
        <w:tc>
          <w:tcPr>
            <w:tcW w:w="1379" w:type="dxa"/>
            <w:gridSpan w:val="3"/>
            <w:vAlign w:val="top"/>
          </w:tcPr>
          <w:p>
            <w:pPr>
              <w:jc w:val="center"/>
              <w:rPr>
                <w:rFonts w:hint="eastAsia"/>
                <w:b/>
                <w:bCs/>
                <w:sz w:val="18"/>
              </w:rPr>
            </w:pPr>
          </w:p>
        </w:tc>
        <w:tc>
          <w:tcPr>
            <w:tcW w:w="2619" w:type="dxa"/>
            <w:gridSpan w:val="2"/>
            <w:vAlign w:val="top"/>
          </w:tcPr>
          <w:p>
            <w:pPr>
              <w:jc w:val="center"/>
              <w:rPr>
                <w:rFonts w:hint="eastAsia"/>
                <w:b/>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atLeast"/>
          <w:jc w:val="center"/>
        </w:trPr>
        <w:tc>
          <w:tcPr>
            <w:tcW w:w="3898" w:type="dxa"/>
            <w:gridSpan w:val="3"/>
            <w:vAlign w:val="top"/>
          </w:tcPr>
          <w:p>
            <w:pPr>
              <w:jc w:val="center"/>
              <w:rPr>
                <w:rFonts w:hint="eastAsia"/>
                <w:b/>
                <w:bCs/>
                <w:sz w:val="18"/>
              </w:rPr>
            </w:pPr>
          </w:p>
        </w:tc>
        <w:tc>
          <w:tcPr>
            <w:tcW w:w="2512" w:type="dxa"/>
            <w:gridSpan w:val="2"/>
            <w:vAlign w:val="top"/>
          </w:tcPr>
          <w:p>
            <w:pPr>
              <w:jc w:val="center"/>
              <w:rPr>
                <w:rFonts w:hint="eastAsia"/>
                <w:b/>
                <w:bCs/>
                <w:sz w:val="18"/>
              </w:rPr>
            </w:pPr>
          </w:p>
        </w:tc>
        <w:tc>
          <w:tcPr>
            <w:tcW w:w="1379" w:type="dxa"/>
            <w:gridSpan w:val="3"/>
            <w:vAlign w:val="top"/>
          </w:tcPr>
          <w:p>
            <w:pPr>
              <w:jc w:val="center"/>
              <w:rPr>
                <w:rFonts w:hint="eastAsia"/>
                <w:b/>
                <w:bCs/>
                <w:sz w:val="18"/>
              </w:rPr>
            </w:pPr>
          </w:p>
        </w:tc>
        <w:tc>
          <w:tcPr>
            <w:tcW w:w="2619" w:type="dxa"/>
            <w:gridSpan w:val="2"/>
            <w:vAlign w:val="top"/>
          </w:tcPr>
          <w:p>
            <w:pPr>
              <w:jc w:val="center"/>
              <w:rPr>
                <w:rFonts w:hint="eastAsia"/>
                <w:b/>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atLeast"/>
          <w:jc w:val="center"/>
        </w:trPr>
        <w:tc>
          <w:tcPr>
            <w:tcW w:w="10408" w:type="dxa"/>
            <w:gridSpan w:val="10"/>
            <w:vAlign w:val="top"/>
          </w:tcPr>
          <w:p>
            <w:pPr>
              <w:rPr>
                <w:rFonts w:hint="eastAsia" w:ascii="宋体" w:hAnsi="宋体"/>
                <w:b/>
                <w:bCs/>
                <w:color w:val="000000"/>
                <w:sz w:val="18"/>
              </w:rPr>
            </w:pPr>
            <w:r>
              <w:rPr>
                <w:rFonts w:hint="eastAsia"/>
                <w:b/>
                <w:bCs/>
                <w:sz w:val="18"/>
              </w:rPr>
              <w:t xml:space="preserve">是否附加建筑工程团体人身意外伤害保险扩展指定生活区域附加险           </w:t>
            </w:r>
            <w:r>
              <w:rPr>
                <w:rFonts w:hint="eastAsia" w:ascii="宋体" w:hAnsi="宋体"/>
                <w:b/>
                <w:bCs/>
                <w:color w:val="000000"/>
                <w:sz w:val="18"/>
              </w:rPr>
              <w:t xml:space="preserve">                   □是        </w:t>
            </w:r>
            <w:r>
              <w:rPr>
                <w:rFonts w:hint="eastAsia" w:ascii="宋体" w:hAnsi="宋体" w:eastAsia="宋体" w:cs="宋体"/>
                <w:b/>
                <w:bCs/>
                <w:color w:val="000000"/>
                <w:sz w:val="18"/>
              </w:rPr>
              <w:t>█</w:t>
            </w:r>
            <w:r>
              <w:rPr>
                <w:rFonts w:hint="eastAsia" w:ascii="宋体" w:hAnsi="宋体"/>
                <w:b/>
                <w:bCs/>
                <w:color w:val="000000"/>
                <w:sz w:val="18"/>
              </w:rPr>
              <w:t>否</w:t>
            </w:r>
          </w:p>
          <w:p>
            <w:pPr>
              <w:autoSpaceDE w:val="0"/>
              <w:autoSpaceDN w:val="0"/>
              <w:spacing w:line="0" w:lineRule="atLeast"/>
              <w:rPr>
                <w:rFonts w:hint="eastAsia" w:ascii="宋体" w:hAnsi="宋体"/>
                <w:b/>
                <w:bCs/>
                <w:color w:val="000000"/>
                <w:sz w:val="18"/>
              </w:rPr>
            </w:pPr>
            <w:r>
              <w:rPr>
                <w:rFonts w:hint="eastAsia" w:ascii="宋体" w:hAnsi="宋体"/>
                <w:color w:val="000000"/>
                <w:sz w:val="18"/>
              </w:rPr>
              <w:t>本附加险保费将与主险保费合并计算。若“是”，请在特别约定处详细说明。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atLeast"/>
          <w:jc w:val="center"/>
        </w:trPr>
        <w:tc>
          <w:tcPr>
            <w:tcW w:w="10408" w:type="dxa"/>
            <w:gridSpan w:val="10"/>
            <w:vAlign w:val="top"/>
          </w:tcPr>
          <w:p>
            <w:pPr>
              <w:rPr>
                <w:rFonts w:hint="eastAsia"/>
                <w:sz w:val="18"/>
              </w:rPr>
            </w:pPr>
            <w:r>
              <w:rPr>
                <w:rFonts w:hint="eastAsia"/>
                <w:sz w:val="18"/>
              </w:rPr>
              <w:t>总保险费合计：（人民币大写）</w:t>
            </w:r>
            <w:r>
              <w:rPr>
                <w:rFonts w:hint="eastAsia"/>
                <w:sz w:val="18"/>
                <w:lang w:eastAsia="zh-CN"/>
              </w:rPr>
              <w:t>陆仟伍佰壹拾壹元玖角</w:t>
            </w:r>
            <w:r>
              <w:rPr>
                <w:rFonts w:hint="eastAsia"/>
                <w:sz w:val="18"/>
              </w:rPr>
              <w:t xml:space="preserve">        （小写）</w:t>
            </w:r>
            <w:r>
              <w:rPr>
                <w:rFonts w:hint="eastAsia" w:ascii="宋体" w:hAnsi="宋体"/>
                <w:sz w:val="18"/>
              </w:rPr>
              <w:t>￥</w:t>
            </w:r>
            <w:r>
              <w:rPr>
                <w:rFonts w:hint="eastAsia"/>
                <w:color w:val="000000" w:themeColor="text1"/>
                <w:sz w:val="21"/>
                <w:szCs w:val="21"/>
                <w:lang w:val="en-US" w:eastAsia="zh-CN"/>
                <w14:textFill>
                  <w14:solidFill>
                    <w14:schemeClr w14:val="tx1"/>
                  </w14:solidFill>
                </w14:textFill>
              </w:rPr>
              <w:t>1500</w:t>
            </w:r>
            <w:r>
              <w:rPr>
                <w:rFonts w:hint="eastAsia"/>
                <w:sz w:val="18"/>
                <w:lang w:val="en-US" w:eastAsia="zh-CN"/>
              </w:rPr>
              <w:t>元</w:t>
            </w:r>
            <w:r>
              <w:rPr>
                <w:rFonts w:hint="eastAsia"/>
                <w:sz w:val="1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atLeast"/>
          <w:jc w:val="center"/>
        </w:trPr>
        <w:tc>
          <w:tcPr>
            <w:tcW w:w="10408" w:type="dxa"/>
            <w:gridSpan w:val="10"/>
            <w:vAlign w:val="top"/>
          </w:tcPr>
          <w:p>
            <w:pPr>
              <w:rPr>
                <w:sz w:val="18"/>
              </w:rPr>
            </w:pPr>
            <w:r>
              <w:rPr>
                <w:rFonts w:hint="eastAsia"/>
                <w:sz w:val="18"/>
              </w:rPr>
              <w:t xml:space="preserve">保险期间：自 </w:t>
            </w:r>
            <w:r>
              <w:rPr>
                <w:rFonts w:hint="eastAsia"/>
                <w:sz w:val="18"/>
                <w:lang w:val="en-US" w:eastAsia="zh-CN"/>
              </w:rPr>
              <w:t>2020</w:t>
            </w:r>
            <w:r>
              <w:rPr>
                <w:rFonts w:hint="eastAsia"/>
                <w:sz w:val="18"/>
              </w:rPr>
              <w:t xml:space="preserve"> 年  </w:t>
            </w:r>
            <w:r>
              <w:rPr>
                <w:rFonts w:hint="eastAsia"/>
                <w:sz w:val="18"/>
                <w:lang w:val="en-US" w:eastAsia="zh-CN"/>
              </w:rPr>
              <w:t>04</w:t>
            </w:r>
            <w:r>
              <w:rPr>
                <w:rFonts w:hint="eastAsia"/>
                <w:sz w:val="18"/>
              </w:rPr>
              <w:t xml:space="preserve">月 </w:t>
            </w:r>
            <w:r>
              <w:rPr>
                <w:rFonts w:hint="eastAsia"/>
                <w:sz w:val="18"/>
                <w:lang w:val="en-US" w:eastAsia="zh-CN"/>
              </w:rPr>
              <w:t>27</w:t>
            </w:r>
            <w:r>
              <w:rPr>
                <w:rFonts w:hint="eastAsia"/>
                <w:sz w:val="18"/>
              </w:rPr>
              <w:t xml:space="preserve">日零时起，至  </w:t>
            </w:r>
            <w:r>
              <w:rPr>
                <w:rFonts w:hint="eastAsia"/>
                <w:sz w:val="18"/>
                <w:lang w:val="en-US" w:eastAsia="zh-CN"/>
              </w:rPr>
              <w:t>2020</w:t>
            </w:r>
            <w:r>
              <w:rPr>
                <w:rFonts w:hint="eastAsia"/>
                <w:sz w:val="18"/>
              </w:rPr>
              <w:t xml:space="preserve"> 年</w:t>
            </w:r>
            <w:r>
              <w:rPr>
                <w:rFonts w:hint="eastAsia"/>
                <w:sz w:val="18"/>
                <w:lang w:val="en-US" w:eastAsia="zh-CN"/>
              </w:rPr>
              <w:t>06</w:t>
            </w:r>
            <w:r>
              <w:rPr>
                <w:rFonts w:hint="eastAsia"/>
                <w:sz w:val="18"/>
              </w:rPr>
              <w:t>月</w:t>
            </w:r>
            <w:r>
              <w:rPr>
                <w:rFonts w:hint="eastAsia"/>
                <w:sz w:val="18"/>
                <w:lang w:val="en-US" w:eastAsia="zh-CN"/>
              </w:rPr>
              <w:t>25</w:t>
            </w:r>
            <w:r>
              <w:rPr>
                <w:rFonts w:hint="eastAsia"/>
                <w:sz w:val="18"/>
              </w:rPr>
              <w:t>日二十四时止，共计</w:t>
            </w:r>
            <w:r>
              <w:rPr>
                <w:rFonts w:hint="eastAsia"/>
                <w:sz w:val="18"/>
                <w:lang w:val="en-US" w:eastAsia="zh-CN"/>
              </w:rPr>
              <w:t>60</w:t>
            </w:r>
            <w:r>
              <w:rPr>
                <w:rFonts w:hint="eastAsia"/>
                <w:sz w:val="18"/>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7" w:hRule="atLeast"/>
          <w:jc w:val="center"/>
        </w:trPr>
        <w:tc>
          <w:tcPr>
            <w:tcW w:w="10408" w:type="dxa"/>
            <w:gridSpan w:val="10"/>
            <w:vAlign w:val="top"/>
          </w:tcPr>
          <w:p>
            <w:pPr>
              <w:rPr>
                <w:rFonts w:hint="eastAsia"/>
                <w:spacing w:val="-4"/>
                <w:sz w:val="18"/>
              </w:rPr>
            </w:pPr>
            <w:r>
              <w:rPr>
                <w:rFonts w:hint="eastAsia"/>
                <w:spacing w:val="-4"/>
                <w:sz w:val="18"/>
              </w:rPr>
              <w:t>争议处理：</w:t>
            </w:r>
            <w:r>
              <w:rPr>
                <w:rFonts w:hint="eastAsia" w:ascii="宋体" w:hAnsi="宋体" w:eastAsia="宋体" w:cs="宋体"/>
                <w:sz w:val="18"/>
              </w:rPr>
              <w:t>▇</w:t>
            </w:r>
            <w:r>
              <w:rPr>
                <w:sz w:val="18"/>
              </w:rPr>
              <w:t xml:space="preserve">诉讼      </w:t>
            </w:r>
            <w:r>
              <w:rPr>
                <w:rFonts w:hint="eastAsia"/>
                <w:sz w:val="18"/>
              </w:rPr>
              <w:t xml:space="preserve"> </w:t>
            </w:r>
            <w:r>
              <w:rPr>
                <w:rFonts w:hint="eastAsia" w:ascii="宋体" w:hAnsi="宋体"/>
                <w:sz w:val="18"/>
              </w:rPr>
              <w:t>□仲裁（</w:t>
            </w:r>
            <w:r>
              <w:rPr>
                <w:rFonts w:hint="eastAsia" w:ascii="宋体" w:hAnsi="宋体"/>
                <w:sz w:val="18"/>
                <w:u w:val="single"/>
              </w:rPr>
              <w:t xml:space="preserve">                </w:t>
            </w:r>
            <w:r>
              <w:rPr>
                <w:rFonts w:hint="eastAsia" w:ascii="宋体" w:hAnsi="宋体"/>
                <w:sz w:val="18"/>
              </w:rPr>
              <w:t>仲裁委员会）</w:t>
            </w:r>
          </w:p>
        </w:tc>
      </w:tr>
    </w:tbl>
    <w:p>
      <w:pPr>
        <w:pStyle w:val="12"/>
        <w:numPr>
          <w:ilvl w:val="0"/>
          <w:numId w:val="1"/>
        </w:numPr>
        <w:spacing w:line="360" w:lineRule="auto"/>
        <w:ind w:firstLineChars="0"/>
        <w:rPr>
          <w:rFonts w:hint="eastAsia"/>
          <w:b/>
          <w:bCs/>
          <w:sz w:val="18"/>
        </w:rPr>
      </w:pPr>
      <w:r>
        <w:rPr>
          <w:rFonts w:hint="eastAsia"/>
          <w:b/>
          <w:bCs/>
          <w:sz w:val="18"/>
        </w:rPr>
        <w:t>特别约定</w:t>
      </w:r>
    </w:p>
    <w:tbl>
      <w:tblPr>
        <w:tblStyle w:val="11"/>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trPr>
        <w:tc>
          <w:tcPr>
            <w:tcW w:w="10420" w:type="dxa"/>
            <w:tcBorders>
              <w:top w:val="single" w:color="auto" w:sz="12" w:space="0"/>
              <w:left w:val="single" w:color="auto" w:sz="12" w:space="0"/>
              <w:bottom w:val="single" w:color="auto" w:sz="12" w:space="0"/>
              <w:right w:val="single" w:color="auto" w:sz="12" w:space="0"/>
            </w:tcBorders>
            <w:vAlign w:val="bottom"/>
          </w:tcPr>
          <w:p>
            <w:pPr>
              <w:keepNext w:val="0"/>
              <w:keepLines w:val="0"/>
              <w:widowControl/>
              <w:suppressLineNumbers w:val="0"/>
              <w:jc w:val="left"/>
              <w:textAlignment w:val="center"/>
              <w:rPr>
                <w:rFonts w:hint="eastAsia" w:ascii="微软雅黑" w:hAnsi="微软雅黑" w:eastAsia="微软雅黑" w:cs="微软雅黑"/>
                <w:color w:val="000000"/>
                <w:kern w:val="2"/>
                <w:sz w:val="18"/>
                <w:szCs w:val="18"/>
                <w:lang w:val="en-US" w:eastAsia="zh-CN" w:bidi="ar"/>
              </w:rPr>
            </w:pPr>
            <w:r>
              <w:rPr>
                <w:rFonts w:hint="eastAsia" w:ascii="微软雅黑" w:hAnsi="微软雅黑" w:eastAsia="微软雅黑" w:cs="微软雅黑"/>
                <w:color w:val="000000"/>
                <w:kern w:val="2"/>
                <w:sz w:val="18"/>
                <w:szCs w:val="18"/>
                <w:lang w:val="en-US" w:eastAsia="zh-CN" w:bidi="ar"/>
              </w:rPr>
              <w:t>1、被保险人因发生主险合同责任范围的意外伤害事故，经治疗地社会保险经办机构指定医院治疗而支出的符合当地社会医疗保险主管部门规定的可报销的医疗费用,保险人对一次事故中0元以内（含0元）的医疗、医药费用不承担给付责任，对于一次事故中0元以上部分的医疗、医药费用按100%的比例在保险金额内予以补偿；</w:t>
            </w:r>
          </w:p>
          <w:p>
            <w:pPr>
              <w:keepNext w:val="0"/>
              <w:keepLines w:val="0"/>
              <w:widowControl/>
              <w:suppressLineNumbers w:val="0"/>
              <w:jc w:val="left"/>
              <w:textAlignment w:val="center"/>
              <w:rPr>
                <w:rFonts w:hint="eastAsia" w:ascii="微软雅黑" w:hAnsi="微软雅黑" w:eastAsia="微软雅黑" w:cs="微软雅黑"/>
                <w:color w:val="000000"/>
                <w:kern w:val="2"/>
                <w:sz w:val="18"/>
                <w:szCs w:val="18"/>
                <w:lang w:val="en-US" w:eastAsia="zh-CN" w:bidi="ar"/>
              </w:rPr>
            </w:pPr>
            <w:r>
              <w:rPr>
                <w:rFonts w:hint="eastAsia" w:ascii="微软雅黑" w:hAnsi="微软雅黑" w:eastAsia="微软雅黑" w:cs="微软雅黑"/>
                <w:color w:val="000000"/>
                <w:kern w:val="2"/>
                <w:sz w:val="18"/>
                <w:szCs w:val="18"/>
                <w:lang w:val="en-US" w:eastAsia="zh-CN" w:bidi="ar"/>
              </w:rPr>
              <w:t>2、建筑工程团体意外伤害附加住院津贴保险每人RMB100元/天，同一被保险人同一次住院的住院津贴给付天数以90天为限，累计住院津贴给付的天数以180天为限；</w:t>
            </w:r>
          </w:p>
          <w:p>
            <w:pPr>
              <w:keepNext w:val="0"/>
              <w:keepLines w:val="0"/>
              <w:widowControl/>
              <w:suppressLineNumbers w:val="0"/>
              <w:jc w:val="left"/>
              <w:textAlignment w:val="center"/>
              <w:rPr>
                <w:rFonts w:hint="eastAsia" w:ascii="微软雅黑" w:hAnsi="微软雅黑" w:eastAsia="微软雅黑" w:cs="微软雅黑"/>
                <w:color w:val="000000"/>
                <w:kern w:val="2"/>
                <w:sz w:val="18"/>
                <w:szCs w:val="18"/>
                <w:lang w:val="en-US" w:eastAsia="zh-CN" w:bidi="ar"/>
              </w:rPr>
            </w:pPr>
            <w:r>
              <w:rPr>
                <w:rFonts w:hint="eastAsia" w:ascii="微软雅黑" w:hAnsi="微软雅黑" w:eastAsia="微软雅黑" w:cs="微软雅黑"/>
                <w:color w:val="000000"/>
                <w:kern w:val="2"/>
                <w:sz w:val="18"/>
                <w:szCs w:val="18"/>
                <w:lang w:val="en-US" w:eastAsia="zh-CN" w:bidi="ar"/>
              </w:rPr>
              <w:t>3、本保险单的保险期限终止日以工程实际竣工交付日和保单注明的保险期间终止日两者较早者为准；</w:t>
            </w:r>
          </w:p>
          <w:p>
            <w:pPr>
              <w:keepNext w:val="0"/>
              <w:keepLines w:val="0"/>
              <w:widowControl/>
              <w:suppressLineNumbers w:val="0"/>
              <w:jc w:val="left"/>
              <w:textAlignment w:val="center"/>
              <w:rPr>
                <w:rFonts w:hint="eastAsia" w:ascii="微软雅黑" w:hAnsi="微软雅黑" w:eastAsia="微软雅黑" w:cs="微软雅黑"/>
                <w:color w:val="000000"/>
                <w:kern w:val="2"/>
                <w:sz w:val="18"/>
                <w:szCs w:val="18"/>
                <w:lang w:val="en-US" w:eastAsia="zh-CN" w:bidi="ar"/>
              </w:rPr>
            </w:pPr>
            <w:r>
              <w:rPr>
                <w:rFonts w:hint="eastAsia" w:ascii="微软雅黑" w:hAnsi="微软雅黑" w:eastAsia="微软雅黑" w:cs="微软雅黑"/>
                <w:color w:val="000000"/>
                <w:kern w:val="2"/>
                <w:sz w:val="18"/>
                <w:szCs w:val="18"/>
                <w:lang w:val="en-US" w:eastAsia="zh-CN" w:bidi="ar"/>
              </w:rPr>
              <w:t>4、发生意外伤害事故，经保险人核定，若实际工程造价高于投保时的工程造价，保险人将按投保时的工程造价与实际工程造价的比例给付保险金。</w:t>
            </w:r>
          </w:p>
          <w:p>
            <w:pPr>
              <w:keepNext w:val="0"/>
              <w:keepLines w:val="0"/>
              <w:widowControl/>
              <w:suppressLineNumbers w:val="0"/>
              <w:jc w:val="left"/>
              <w:textAlignment w:val="center"/>
              <w:rPr>
                <w:rFonts w:hint="eastAsia" w:ascii="微软雅黑" w:hAnsi="微软雅黑" w:eastAsia="微软雅黑" w:cs="微软雅黑"/>
                <w:color w:val="000000"/>
                <w:kern w:val="2"/>
                <w:sz w:val="18"/>
                <w:szCs w:val="18"/>
                <w:lang w:val="en-US" w:eastAsia="zh-CN" w:bidi="ar"/>
              </w:rPr>
            </w:pPr>
            <w:r>
              <w:rPr>
                <w:rFonts w:hint="eastAsia" w:ascii="微软雅黑" w:hAnsi="微软雅黑" w:eastAsia="微软雅黑" w:cs="微软雅黑"/>
                <w:color w:val="000000"/>
                <w:kern w:val="2"/>
                <w:sz w:val="18"/>
                <w:szCs w:val="18"/>
                <w:lang w:val="en-US" w:eastAsia="zh-CN" w:bidi="ar"/>
              </w:rPr>
              <w:t>5、被保险人发生保险责任范围内的意外事故导致死亡或伤残，投保人、被保险人或受益人必须在事故发生后的24小时内通知保险公司，在保险公司可以确定事故原因和性质的情况下，理赔时可以不再出具安全监督管理部门的事故证明文件；</w:t>
            </w:r>
          </w:p>
          <w:p>
            <w:pPr>
              <w:keepNext w:val="0"/>
              <w:keepLines w:val="0"/>
              <w:widowControl/>
              <w:suppressLineNumbers w:val="0"/>
              <w:jc w:val="left"/>
              <w:textAlignment w:val="center"/>
              <w:rPr>
                <w:rFonts w:hint="eastAsia" w:ascii="微软雅黑" w:hAnsi="微软雅黑" w:eastAsia="微软雅黑" w:cs="微软雅黑"/>
                <w:color w:val="000000"/>
                <w:kern w:val="2"/>
                <w:sz w:val="18"/>
                <w:szCs w:val="18"/>
                <w:lang w:val="en-US" w:eastAsia="zh-CN" w:bidi="ar"/>
              </w:rPr>
            </w:pPr>
            <w:r>
              <w:rPr>
                <w:rFonts w:hint="eastAsia" w:ascii="微软雅黑" w:hAnsi="微软雅黑" w:eastAsia="微软雅黑" w:cs="微软雅黑"/>
                <w:color w:val="000000"/>
                <w:kern w:val="2"/>
                <w:sz w:val="18"/>
                <w:szCs w:val="18"/>
                <w:lang w:val="en-US" w:eastAsia="zh-CN" w:bidi="ar"/>
              </w:rPr>
              <w:t>6、被保险人如发生伤残、死亡事故，投保人、被保险人或受益人应在24小时之内向保险公司95556报案。其它意外伤害事故应在48小时之内向保险公司95556报案。因故意或者因重大过失未及时通知，致使保险事故的性质、原因、损失程度等难以确定的，保险人对无法确定的部分，不承担给付保险金的责任。</w:t>
            </w:r>
          </w:p>
          <w:p>
            <w:pPr>
              <w:keepNext w:val="0"/>
              <w:keepLines w:val="0"/>
              <w:widowControl/>
              <w:suppressLineNumbers w:val="0"/>
              <w:jc w:val="left"/>
              <w:textAlignment w:val="center"/>
              <w:rPr>
                <w:b/>
                <w:bCs/>
                <w:sz w:val="18"/>
              </w:rPr>
            </w:pPr>
            <w:r>
              <w:rPr>
                <w:rFonts w:hint="eastAsia" w:ascii="微软雅黑" w:hAnsi="微软雅黑" w:eastAsia="微软雅黑" w:cs="微软雅黑"/>
                <w:color w:val="000000"/>
                <w:kern w:val="2"/>
                <w:sz w:val="18"/>
                <w:szCs w:val="18"/>
                <w:lang w:val="en-US" w:eastAsia="zh-CN" w:bidi="ar"/>
              </w:rPr>
              <w:t>7、在保险期间内，保险人同意就《建筑工程团体人身意外伤害保险条款》所附《人身保险伤残评定标准》（行业标准）中所列一至十级残疾给付比例调整为一级100%、二级80%、三级70%、四级60%、五级50%、六级40%、七级20%、八级10%、九级8%、十级5%，保险人按本约定所列残疾给付比例乘以保险金额给付残疾保险金，具体保险责任详见《（华安财险）（意外伤害保险）附加免赔额等给付标准调整特约条款（2017版）》。</w:t>
            </w:r>
          </w:p>
        </w:tc>
      </w:tr>
    </w:tbl>
    <w:p>
      <w:pPr>
        <w:spacing w:line="480" w:lineRule="auto"/>
        <w:rPr>
          <w:rFonts w:hint="eastAsia"/>
          <w:sz w:val="18"/>
        </w:rPr>
      </w:pPr>
      <w:r>
        <w:rPr>
          <w:rFonts w:hint="eastAsia"/>
          <w:b/>
          <w:sz w:val="18"/>
        </w:rPr>
        <w:t>免赔额特别约定</w:t>
      </w:r>
      <w:r>
        <w:rPr>
          <w:rFonts w:hint="eastAsia"/>
          <w:sz w:val="18"/>
        </w:rPr>
        <w:t>（如附加建筑工程团体人身意外伤害医疗保险，此栏必须填写）</w:t>
      </w:r>
    </w:p>
    <w:tbl>
      <w:tblPr>
        <w:tblStyle w:val="11"/>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20" w:type="dxa"/>
            <w:tcBorders>
              <w:top w:val="single" w:color="auto" w:sz="12" w:space="0"/>
              <w:left w:val="single" w:color="auto" w:sz="12" w:space="0"/>
              <w:bottom w:val="single" w:color="auto" w:sz="12" w:space="0"/>
              <w:right w:val="single" w:color="auto" w:sz="12" w:space="0"/>
            </w:tcBorders>
            <w:vAlign w:val="top"/>
          </w:tcPr>
          <w:p>
            <w:pPr>
              <w:spacing w:line="360" w:lineRule="auto"/>
              <w:rPr>
                <w:b/>
                <w:bCs/>
                <w:sz w:val="18"/>
              </w:rPr>
            </w:pPr>
          </w:p>
        </w:tc>
      </w:tr>
    </w:tbl>
    <w:p>
      <w:pPr>
        <w:pStyle w:val="12"/>
        <w:numPr>
          <w:ilvl w:val="0"/>
          <w:numId w:val="1"/>
        </w:numPr>
        <w:spacing w:line="480" w:lineRule="auto"/>
        <w:ind w:firstLineChars="0"/>
        <w:rPr>
          <w:b/>
          <w:sz w:val="18"/>
        </w:rPr>
      </w:pPr>
      <w:r>
        <w:rPr>
          <w:rFonts w:hint="eastAsia"/>
          <w:b/>
          <w:sz w:val="18"/>
          <w:szCs w:val="18"/>
        </w:rPr>
        <w:t>涉农情况</w:t>
      </w:r>
    </w:p>
    <w:tbl>
      <w:tblPr>
        <w:tblStyle w:val="11"/>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0420" w:type="dxa"/>
            <w:tcBorders>
              <w:top w:val="single" w:color="auto" w:sz="12" w:space="0"/>
              <w:left w:val="single" w:color="auto" w:sz="12" w:space="0"/>
              <w:right w:val="single" w:color="auto" w:sz="12" w:space="0"/>
            </w:tcBorders>
            <w:vAlign w:val="center"/>
          </w:tcPr>
          <w:p>
            <w:pPr>
              <w:pStyle w:val="12"/>
              <w:ind w:firstLine="0" w:firstLineChars="0"/>
              <w:rPr>
                <w:rFonts w:hint="eastAsia" w:ascii="宋体" w:hAnsi="宋体"/>
                <w:b/>
                <w:bCs/>
                <w:sz w:val="18"/>
              </w:rPr>
            </w:pPr>
            <w:r>
              <w:rPr>
                <w:rFonts w:hint="eastAsia" w:ascii="宋体" w:hAnsi="宋体"/>
                <w:bCs/>
                <w:sz w:val="18"/>
              </w:rPr>
              <w:t>涉农情况：</w:t>
            </w:r>
            <w:r>
              <w:rPr>
                <w:rFonts w:hint="eastAsia" w:ascii="宋体" w:hAnsi="宋体"/>
                <w:sz w:val="18"/>
              </w:rPr>
              <w:t>是否涉农  是 □ 否 □（</w:t>
            </w:r>
            <w:r>
              <w:rPr>
                <w:rFonts w:hint="eastAsia" w:ascii="宋体" w:hAnsi="宋体"/>
                <w:bCs/>
                <w:sz w:val="18"/>
              </w:rPr>
              <w:t>符合以下条件之一的请勾选“是”）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0420" w:type="dxa"/>
            <w:tcBorders>
              <w:left w:val="single" w:color="auto" w:sz="12" w:space="0"/>
              <w:bottom w:val="single" w:color="auto" w:sz="12" w:space="0"/>
              <w:right w:val="single" w:color="auto" w:sz="12" w:space="0"/>
            </w:tcBorders>
            <w:vAlign w:val="top"/>
          </w:tcPr>
          <w:p>
            <w:pPr>
              <w:pStyle w:val="12"/>
              <w:ind w:firstLine="0" w:firstLineChars="0"/>
              <w:rPr>
                <w:rFonts w:hint="eastAsia" w:ascii="宋体" w:hAnsi="宋体"/>
                <w:bCs/>
                <w:sz w:val="18"/>
              </w:rPr>
            </w:pPr>
            <w:r>
              <w:rPr>
                <w:rFonts w:hint="eastAsia" w:ascii="宋体" w:hAnsi="宋体"/>
                <w:bCs/>
                <w:sz w:val="18"/>
              </w:rPr>
              <w:t>1、投保人或被保险人从事农业、农业服务业生产活动、农村社会服务工作，或为农村居民生活提供服务，或从事农村基础设施建设、维护，或提供农村基础设施服务的；</w:t>
            </w:r>
          </w:p>
          <w:p>
            <w:pPr>
              <w:pStyle w:val="12"/>
              <w:ind w:firstLine="0" w:firstLineChars="0"/>
              <w:rPr>
                <w:rFonts w:hint="eastAsia" w:ascii="宋体" w:hAnsi="宋体"/>
                <w:bCs/>
                <w:sz w:val="18"/>
              </w:rPr>
            </w:pPr>
            <w:r>
              <w:rPr>
                <w:rFonts w:hint="eastAsia" w:ascii="宋体" w:hAnsi="宋体"/>
                <w:bCs/>
                <w:sz w:val="18"/>
              </w:rPr>
              <w:t>2、投保人或被保险人属于农村行政管理单位、农业生产经营组织、农村非农经济组织，或乡村人口的。</w:t>
            </w:r>
          </w:p>
        </w:tc>
      </w:tr>
    </w:tbl>
    <w:p>
      <w:pPr>
        <w:pStyle w:val="12"/>
        <w:numPr>
          <w:ilvl w:val="0"/>
          <w:numId w:val="1"/>
        </w:numPr>
        <w:spacing w:line="480" w:lineRule="auto"/>
        <w:ind w:firstLineChars="0"/>
        <w:rPr>
          <w:rFonts w:hint="eastAsia"/>
          <w:b/>
          <w:sz w:val="18"/>
        </w:rPr>
      </w:pPr>
      <w:r>
        <w:rPr>
          <w:rFonts w:hint="eastAsia"/>
          <w:b/>
          <w:sz w:val="18"/>
        </w:rPr>
        <w:t>备注</w:t>
      </w:r>
    </w:p>
    <w:tbl>
      <w:tblPr>
        <w:tblStyle w:val="11"/>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20" w:type="dxa"/>
            <w:tcBorders>
              <w:top w:val="single" w:color="auto" w:sz="12" w:space="0"/>
              <w:left w:val="single" w:color="auto" w:sz="12" w:space="0"/>
              <w:bottom w:val="single" w:color="auto" w:sz="12" w:space="0"/>
              <w:right w:val="single" w:color="auto" w:sz="12" w:space="0"/>
            </w:tcBorders>
            <w:vAlign w:val="top"/>
          </w:tcPr>
          <w:p>
            <w:pPr>
              <w:spacing w:line="360" w:lineRule="auto"/>
              <w:rPr>
                <w:b/>
                <w:bCs/>
                <w:sz w:val="18"/>
              </w:rPr>
            </w:pPr>
          </w:p>
        </w:tc>
      </w:tr>
    </w:tbl>
    <w:p>
      <w:pPr>
        <w:pStyle w:val="12"/>
        <w:numPr>
          <w:ilvl w:val="0"/>
          <w:numId w:val="1"/>
        </w:numPr>
        <w:spacing w:line="480" w:lineRule="auto"/>
        <w:ind w:firstLineChars="0"/>
        <w:rPr>
          <w:rFonts w:hint="eastAsia" w:ascii="宋体" w:hAnsi="宋体"/>
          <w:b/>
          <w:bCs/>
          <w:sz w:val="18"/>
        </w:rPr>
      </w:pPr>
      <w:r>
        <w:rPr>
          <w:rFonts w:hint="eastAsia" w:ascii="宋体" w:hAnsi="宋体"/>
          <w:b/>
          <w:bCs/>
          <w:sz w:val="18"/>
        </w:rPr>
        <w:t>投保人及被保险人声明：</w:t>
      </w:r>
    </w:p>
    <w:tbl>
      <w:tblPr>
        <w:tblStyle w:val="11"/>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20" w:type="dxa"/>
            <w:tcBorders>
              <w:top w:val="single" w:color="auto" w:sz="12" w:space="0"/>
              <w:left w:val="single" w:color="auto" w:sz="12" w:space="0"/>
              <w:bottom w:val="single" w:color="auto" w:sz="12" w:space="0"/>
              <w:right w:val="single" w:color="auto" w:sz="12" w:space="0"/>
            </w:tcBorders>
            <w:vAlign w:val="top"/>
          </w:tcPr>
          <w:p>
            <w:pPr>
              <w:spacing w:line="276" w:lineRule="auto"/>
              <w:ind w:firstLine="361" w:firstLineChars="200"/>
              <w:rPr>
                <w:rFonts w:hint="eastAsia" w:ascii="宋体" w:hAnsi="宋体"/>
                <w:b/>
                <w:bCs/>
                <w:kern w:val="0"/>
                <w:sz w:val="18"/>
                <w:szCs w:val="18"/>
              </w:rPr>
            </w:pPr>
            <w:r>
              <w:rPr>
                <w:rFonts w:hint="eastAsia" w:ascii="宋体" w:hAnsi="宋体"/>
                <w:b/>
                <w:bCs/>
                <w:sz w:val="18"/>
                <w:lang w:val="zh-CN"/>
              </w:rPr>
              <w:t>一、本人已收到保险合同条款，</w:t>
            </w:r>
            <w:r>
              <w:rPr>
                <w:rFonts w:hint="eastAsia" w:ascii="宋体" w:hAnsi="宋体"/>
                <w:b/>
                <w:bCs/>
                <w:kern w:val="0"/>
                <w:sz w:val="18"/>
                <w:szCs w:val="18"/>
              </w:rPr>
              <w:t>保险人已经告知本人仔细阅读保险合同条款，提示本人特别阅读黑体字标注的免除保险人责任的条款内容。保险人对保险合同内容，尤其是免除保险人责任的条款已经向本人作出了明确说明，本人已经完全理解，没有异议，申请投保。</w:t>
            </w:r>
          </w:p>
          <w:p>
            <w:pPr>
              <w:spacing w:line="240" w:lineRule="auto"/>
              <w:ind w:firstLine="361" w:firstLineChars="200"/>
              <w:rPr>
                <w:rFonts w:hint="eastAsia" w:ascii="Calibri" w:hAnsi="Calibri"/>
                <w:b/>
                <w:bCs/>
                <w:kern w:val="2"/>
                <w:sz w:val="18"/>
                <w:szCs w:val="18"/>
              </w:rPr>
            </w:pPr>
            <w:r>
              <w:rPr>
                <w:rFonts w:hint="eastAsia"/>
                <w:b/>
                <w:bCs/>
                <w:sz w:val="18"/>
                <w:szCs w:val="18"/>
              </w:rPr>
              <w:t>二、保险人已经告知本人仔细阅读《华安财产保险股份有限公司偿付能力信息告知书》。</w:t>
            </w:r>
          </w:p>
          <w:p>
            <w:pPr>
              <w:ind w:firstLine="360" w:firstLineChars="200"/>
              <w:rPr>
                <w:rFonts w:hint="eastAsia" w:ascii="宋体" w:hAnsi="宋体"/>
                <w:kern w:val="0"/>
                <w:sz w:val="18"/>
                <w:szCs w:val="18"/>
              </w:rPr>
            </w:pPr>
          </w:p>
          <w:p>
            <w:pPr>
              <w:ind w:firstLine="2519" w:firstLineChars="1394"/>
              <w:rPr>
                <w:b/>
                <w:bCs/>
                <w:sz w:val="18"/>
                <w:szCs w:val="18"/>
              </w:rPr>
            </w:pPr>
            <w:r>
              <w:rPr>
                <w:rFonts w:hint="eastAsia" w:ascii="Times New Roman" w:hAnsi="Times New Roman"/>
                <w:b/>
                <w:kern w:val="0"/>
                <w:sz w:val="18"/>
                <w:szCs w:val="18"/>
              </w:rPr>
              <w:t>投保人签名（盖章）：</w:t>
            </w:r>
            <w:r>
              <w:rPr>
                <w:rFonts w:hint="eastAsia" w:ascii="宋体" w:hAnsi="宋体"/>
                <w:kern w:val="0"/>
                <w:sz w:val="18"/>
                <w:szCs w:val="18"/>
              </w:rPr>
              <w:t xml:space="preserve">                                          年        月        日</w:t>
            </w:r>
          </w:p>
        </w:tc>
      </w:tr>
    </w:tbl>
    <w:p>
      <w:pPr>
        <w:spacing w:line="360" w:lineRule="auto"/>
        <w:rPr>
          <w:rFonts w:hint="eastAsia"/>
          <w:b/>
          <w:bCs/>
          <w:sz w:val="18"/>
        </w:rPr>
      </w:pPr>
    </w:p>
    <w:tbl>
      <w:tblPr>
        <w:tblStyle w:val="11"/>
        <w:tblW w:w="1045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0"/>
        <w:gridCol w:w="699"/>
        <w:gridCol w:w="1743"/>
        <w:gridCol w:w="321"/>
        <w:gridCol w:w="1037"/>
        <w:gridCol w:w="37"/>
        <w:gridCol w:w="990"/>
        <w:gridCol w:w="162"/>
        <w:gridCol w:w="390"/>
        <w:gridCol w:w="448"/>
        <w:gridCol w:w="1064"/>
        <w:gridCol w:w="806"/>
        <w:gridCol w:w="1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61" w:hRule="atLeast"/>
          <w:jc w:val="center"/>
        </w:trPr>
        <w:tc>
          <w:tcPr>
            <w:tcW w:w="10457" w:type="dxa"/>
            <w:gridSpan w:val="13"/>
            <w:vAlign w:val="top"/>
          </w:tcPr>
          <w:p>
            <w:pPr>
              <w:ind w:firstLine="3131" w:firstLineChars="1485"/>
              <w:rPr>
                <w:rFonts w:hint="eastAsia" w:eastAsia="黑体"/>
                <w:b/>
                <w:bCs/>
              </w:rPr>
            </w:pPr>
            <w:r>
              <w:rPr>
                <w:rFonts w:hint="eastAsia" w:eastAsia="黑体"/>
                <w:b/>
                <w:bCs/>
              </w:rPr>
              <w:t>以下内容为保险公司人员填写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61" w:hRule="atLeast"/>
          <w:jc w:val="center"/>
        </w:trPr>
        <w:tc>
          <w:tcPr>
            <w:tcW w:w="1500" w:type="dxa"/>
            <w:vAlign w:val="center"/>
          </w:tcPr>
          <w:p>
            <w:pPr>
              <w:rPr>
                <w:rFonts w:hint="eastAsia"/>
                <w:b/>
                <w:bCs/>
                <w:sz w:val="18"/>
              </w:rPr>
            </w:pPr>
            <w:r>
              <w:rPr>
                <w:rFonts w:hint="eastAsia"/>
                <w:sz w:val="18"/>
              </w:rPr>
              <w:t>业务员签名</w:t>
            </w:r>
          </w:p>
        </w:tc>
        <w:tc>
          <w:tcPr>
            <w:tcW w:w="2442" w:type="dxa"/>
            <w:gridSpan w:val="2"/>
            <w:vAlign w:val="center"/>
          </w:tcPr>
          <w:p>
            <w:pPr>
              <w:rPr>
                <w:rFonts w:hint="eastAsia"/>
                <w:b/>
                <w:bCs/>
                <w:sz w:val="18"/>
              </w:rPr>
            </w:pPr>
          </w:p>
        </w:tc>
        <w:tc>
          <w:tcPr>
            <w:tcW w:w="1358" w:type="dxa"/>
            <w:gridSpan w:val="2"/>
            <w:vAlign w:val="center"/>
          </w:tcPr>
          <w:p>
            <w:pPr>
              <w:rPr>
                <w:rFonts w:hint="eastAsia"/>
                <w:sz w:val="18"/>
              </w:rPr>
            </w:pPr>
            <w:r>
              <w:rPr>
                <w:rFonts w:hint="eastAsia"/>
                <w:sz w:val="18"/>
              </w:rPr>
              <w:t>业务员代码</w:t>
            </w:r>
          </w:p>
        </w:tc>
        <w:tc>
          <w:tcPr>
            <w:tcW w:w="1579" w:type="dxa"/>
            <w:gridSpan w:val="4"/>
            <w:vAlign w:val="center"/>
          </w:tcPr>
          <w:p>
            <w:pPr>
              <w:rPr>
                <w:rFonts w:hint="eastAsia"/>
                <w:sz w:val="18"/>
              </w:rPr>
            </w:pPr>
          </w:p>
        </w:tc>
        <w:tc>
          <w:tcPr>
            <w:tcW w:w="2318" w:type="dxa"/>
            <w:gridSpan w:val="3"/>
            <w:vAlign w:val="center"/>
          </w:tcPr>
          <w:p>
            <w:pPr>
              <w:rPr>
                <w:rFonts w:hint="eastAsia" w:eastAsia="黑体"/>
                <w:sz w:val="18"/>
              </w:rPr>
            </w:pPr>
            <w:r>
              <w:rPr>
                <w:rFonts w:hint="eastAsia"/>
                <w:sz w:val="18"/>
              </w:rPr>
              <w:t>业务员联系电话</w:t>
            </w:r>
          </w:p>
        </w:tc>
        <w:tc>
          <w:tcPr>
            <w:tcW w:w="1260" w:type="dxa"/>
            <w:vAlign w:val="center"/>
          </w:tcPr>
          <w:p>
            <w:pPr>
              <w:rPr>
                <w:rFonts w:hint="eastAsia" w:eastAsia="黑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61" w:hRule="atLeast"/>
          <w:jc w:val="center"/>
        </w:trPr>
        <w:tc>
          <w:tcPr>
            <w:tcW w:w="1500" w:type="dxa"/>
            <w:vAlign w:val="center"/>
          </w:tcPr>
          <w:p>
            <w:pPr>
              <w:rPr>
                <w:rFonts w:hint="eastAsia"/>
                <w:spacing w:val="-2"/>
                <w:sz w:val="18"/>
              </w:rPr>
            </w:pPr>
            <w:r>
              <w:rPr>
                <w:rFonts w:hint="eastAsia"/>
                <w:sz w:val="18"/>
              </w:rPr>
              <w:t>业务来源</w:t>
            </w:r>
          </w:p>
        </w:tc>
        <w:tc>
          <w:tcPr>
            <w:tcW w:w="8957" w:type="dxa"/>
            <w:gridSpan w:val="12"/>
            <w:vAlign w:val="center"/>
          </w:tcPr>
          <w:p>
            <w:pPr>
              <w:rPr>
                <w:rFonts w:hint="eastAsia"/>
                <w:spacing w:val="-2"/>
                <w:sz w:val="18"/>
              </w:rPr>
            </w:pPr>
            <w:r>
              <w:rPr>
                <w:rFonts w:hint="eastAsia" w:ascii="宋体" w:hAnsi="宋体"/>
                <w:spacing w:val="-4"/>
                <w:sz w:val="18"/>
              </w:rPr>
              <w:t>□网上投保  □</w:t>
            </w:r>
            <w:r>
              <w:rPr>
                <w:rFonts w:hint="eastAsia"/>
                <w:spacing w:val="-4"/>
                <w:sz w:val="18"/>
              </w:rPr>
              <w:t xml:space="preserve">直接业务  </w:t>
            </w:r>
            <w:r>
              <w:rPr>
                <w:rFonts w:hint="eastAsia" w:ascii="宋体" w:hAnsi="宋体"/>
                <w:spacing w:val="-4"/>
                <w:sz w:val="18"/>
              </w:rPr>
              <w:t>□</w:t>
            </w:r>
            <w:r>
              <w:rPr>
                <w:rFonts w:hint="eastAsia"/>
                <w:spacing w:val="-4"/>
                <w:sz w:val="18"/>
              </w:rPr>
              <w:t xml:space="preserve">代理业务  </w:t>
            </w:r>
            <w:r>
              <w:rPr>
                <w:rFonts w:hint="eastAsia" w:ascii="宋体" w:hAnsi="宋体"/>
                <w:spacing w:val="-4"/>
                <w:sz w:val="18"/>
              </w:rPr>
              <w:t>□</w:t>
            </w:r>
            <w:r>
              <w:rPr>
                <w:rFonts w:hint="eastAsia"/>
                <w:spacing w:val="-4"/>
                <w:sz w:val="18"/>
              </w:rPr>
              <w:t xml:space="preserve">经纪业务  </w:t>
            </w:r>
            <w:r>
              <w:rPr>
                <w:rFonts w:hint="eastAsia" w:ascii="宋体" w:hAnsi="宋体"/>
                <w:spacing w:val="-4"/>
                <w:sz w:val="18"/>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61" w:hRule="atLeast"/>
          <w:jc w:val="center"/>
        </w:trPr>
        <w:tc>
          <w:tcPr>
            <w:tcW w:w="1500" w:type="dxa"/>
            <w:vAlign w:val="center"/>
          </w:tcPr>
          <w:p>
            <w:pPr>
              <w:rPr>
                <w:rFonts w:hint="eastAsia" w:ascii="宋体" w:hAnsi="宋体"/>
                <w:spacing w:val="-4"/>
                <w:sz w:val="18"/>
              </w:rPr>
            </w:pPr>
            <w:r>
              <w:rPr>
                <w:rFonts w:hint="eastAsia"/>
                <w:spacing w:val="-6"/>
                <w:sz w:val="18"/>
              </w:rPr>
              <w:t>中介机构名称</w:t>
            </w:r>
          </w:p>
        </w:tc>
        <w:tc>
          <w:tcPr>
            <w:tcW w:w="4989" w:type="dxa"/>
            <w:gridSpan w:val="7"/>
            <w:vAlign w:val="center"/>
          </w:tcPr>
          <w:p>
            <w:pPr>
              <w:rPr>
                <w:rFonts w:hint="eastAsia"/>
                <w:spacing w:val="-6"/>
                <w:sz w:val="18"/>
              </w:rPr>
            </w:pPr>
          </w:p>
        </w:tc>
        <w:tc>
          <w:tcPr>
            <w:tcW w:w="838" w:type="dxa"/>
            <w:gridSpan w:val="2"/>
            <w:vAlign w:val="top"/>
          </w:tcPr>
          <w:p>
            <w:pPr>
              <w:ind w:left="67"/>
              <w:rPr>
                <w:rFonts w:hint="eastAsia"/>
                <w:spacing w:val="-6"/>
                <w:sz w:val="18"/>
              </w:rPr>
            </w:pPr>
            <w:r>
              <w:rPr>
                <w:rFonts w:hint="eastAsia"/>
                <w:spacing w:val="-2"/>
                <w:sz w:val="18"/>
              </w:rPr>
              <w:t>代码</w:t>
            </w:r>
          </w:p>
        </w:tc>
        <w:tc>
          <w:tcPr>
            <w:tcW w:w="3130" w:type="dxa"/>
            <w:gridSpan w:val="3"/>
            <w:vAlign w:val="top"/>
          </w:tcPr>
          <w:p>
            <w:pPr>
              <w:rPr>
                <w:rFonts w:hint="eastAsia"/>
                <w:spacing w:val="-2"/>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61" w:hRule="atLeast"/>
          <w:jc w:val="center"/>
        </w:trPr>
        <w:tc>
          <w:tcPr>
            <w:tcW w:w="1500" w:type="dxa"/>
            <w:vAlign w:val="center"/>
          </w:tcPr>
          <w:p>
            <w:pPr>
              <w:rPr>
                <w:rFonts w:hint="eastAsia"/>
                <w:sz w:val="18"/>
              </w:rPr>
            </w:pPr>
            <w:r>
              <w:rPr>
                <w:rFonts w:hint="eastAsia"/>
                <w:sz w:val="18"/>
              </w:rPr>
              <w:t>经办人</w:t>
            </w:r>
          </w:p>
        </w:tc>
        <w:tc>
          <w:tcPr>
            <w:tcW w:w="2442" w:type="dxa"/>
            <w:gridSpan w:val="2"/>
            <w:vAlign w:val="center"/>
          </w:tcPr>
          <w:p>
            <w:pPr>
              <w:rPr>
                <w:rFonts w:hint="eastAsia"/>
                <w:sz w:val="18"/>
              </w:rPr>
            </w:pPr>
          </w:p>
        </w:tc>
        <w:tc>
          <w:tcPr>
            <w:tcW w:w="1395" w:type="dxa"/>
            <w:gridSpan w:val="3"/>
            <w:vAlign w:val="center"/>
          </w:tcPr>
          <w:p>
            <w:pPr>
              <w:rPr>
                <w:rFonts w:hint="eastAsia"/>
                <w:sz w:val="18"/>
              </w:rPr>
            </w:pPr>
            <w:r>
              <w:rPr>
                <w:rFonts w:hint="eastAsia"/>
                <w:sz w:val="18"/>
              </w:rPr>
              <w:t>经办日期</w:t>
            </w:r>
          </w:p>
        </w:tc>
        <w:tc>
          <w:tcPr>
            <w:tcW w:w="5120" w:type="dxa"/>
            <w:gridSpan w:val="7"/>
            <w:vAlign w:val="top"/>
          </w:tcPr>
          <w:p>
            <w:pPr>
              <w:rPr>
                <w:rFonts w:hint="eastAsia"/>
                <w:sz w:val="18"/>
              </w:rPr>
            </w:pPr>
            <w:r>
              <w:rPr>
                <w:rFonts w:hint="eastAsia"/>
                <w:sz w:val="1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61" w:hRule="atLeast"/>
          <w:jc w:val="center"/>
        </w:trPr>
        <w:tc>
          <w:tcPr>
            <w:tcW w:w="2199" w:type="dxa"/>
            <w:gridSpan w:val="2"/>
            <w:vAlign w:val="center"/>
          </w:tcPr>
          <w:p>
            <w:pPr>
              <w:rPr>
                <w:rFonts w:hint="eastAsia"/>
                <w:sz w:val="18"/>
              </w:rPr>
            </w:pPr>
            <w:r>
              <w:rPr>
                <w:rFonts w:hint="eastAsia"/>
                <w:sz w:val="18"/>
              </w:rPr>
              <w:t>初审：</w:t>
            </w:r>
          </w:p>
        </w:tc>
        <w:tc>
          <w:tcPr>
            <w:tcW w:w="2064" w:type="dxa"/>
            <w:gridSpan w:val="2"/>
            <w:vAlign w:val="center"/>
          </w:tcPr>
          <w:p>
            <w:pPr>
              <w:rPr>
                <w:rFonts w:hint="eastAsia"/>
                <w:sz w:val="18"/>
              </w:rPr>
            </w:pPr>
            <w:r>
              <w:rPr>
                <w:rFonts w:hint="eastAsia"/>
                <w:sz w:val="18"/>
              </w:rPr>
              <w:t>录入：</w:t>
            </w:r>
          </w:p>
        </w:tc>
        <w:tc>
          <w:tcPr>
            <w:tcW w:w="2064" w:type="dxa"/>
            <w:gridSpan w:val="3"/>
            <w:vAlign w:val="center"/>
          </w:tcPr>
          <w:p>
            <w:pPr>
              <w:rPr>
                <w:rFonts w:hint="eastAsia"/>
                <w:sz w:val="18"/>
              </w:rPr>
            </w:pPr>
            <w:r>
              <w:rPr>
                <w:rFonts w:hint="eastAsia"/>
                <w:sz w:val="18"/>
              </w:rPr>
              <w:t>复核：</w:t>
            </w:r>
          </w:p>
        </w:tc>
        <w:tc>
          <w:tcPr>
            <w:tcW w:w="2064" w:type="dxa"/>
            <w:gridSpan w:val="4"/>
            <w:vAlign w:val="center"/>
          </w:tcPr>
          <w:p>
            <w:pPr>
              <w:rPr>
                <w:rFonts w:hint="eastAsia"/>
                <w:sz w:val="18"/>
              </w:rPr>
            </w:pPr>
            <w:r>
              <w:rPr>
                <w:rFonts w:hint="eastAsia"/>
                <w:sz w:val="18"/>
              </w:rPr>
              <w:t>出单：</w:t>
            </w:r>
          </w:p>
        </w:tc>
        <w:tc>
          <w:tcPr>
            <w:tcW w:w="2066" w:type="dxa"/>
            <w:gridSpan w:val="2"/>
            <w:vAlign w:val="center"/>
          </w:tcPr>
          <w:p>
            <w:pPr>
              <w:rPr>
                <w:rFonts w:hint="eastAsia"/>
                <w:sz w:val="18"/>
              </w:rPr>
            </w:pPr>
            <w:r>
              <w:rPr>
                <w:rFonts w:hint="eastAsia"/>
                <w:sz w:val="18"/>
              </w:rPr>
              <w:t>收费：</w:t>
            </w:r>
          </w:p>
        </w:tc>
      </w:tr>
    </w:tbl>
    <w:p>
      <w:pPr>
        <w:rPr>
          <w:b/>
          <w:bCs/>
          <w:sz w:val="18"/>
        </w:rPr>
      </w:pPr>
    </w:p>
    <w:p>
      <w:pPr>
        <w:tabs>
          <w:tab w:val="left" w:pos="4200"/>
          <w:tab w:val="center" w:pos="4746"/>
        </w:tabs>
        <w:spacing w:after="156" w:afterLines="50"/>
        <w:jc w:val="center"/>
        <w:rPr>
          <w:rFonts w:hint="eastAsia" w:ascii="宋体" w:hAnsi="宋体"/>
          <w:b/>
          <w:color w:val="000000"/>
          <w:sz w:val="32"/>
          <w:szCs w:val="32"/>
        </w:rPr>
      </w:pPr>
    </w:p>
    <w:p>
      <w:pPr>
        <w:tabs>
          <w:tab w:val="left" w:pos="4200"/>
          <w:tab w:val="center" w:pos="4746"/>
        </w:tabs>
        <w:spacing w:after="156" w:afterLines="50"/>
        <w:jc w:val="both"/>
        <w:rPr>
          <w:rFonts w:hint="eastAsia" w:ascii="宋体" w:hAnsi="宋体"/>
          <w:b/>
          <w:color w:val="000000"/>
          <w:sz w:val="32"/>
          <w:szCs w:val="32"/>
          <w:lang w:val="en-US" w:eastAsia="zh-CN"/>
        </w:rPr>
      </w:pPr>
      <w:r>
        <w:rPr>
          <w:rFonts w:hint="eastAsia" w:ascii="宋体" w:hAnsi="宋体"/>
          <w:b/>
          <w:color w:val="000000"/>
          <w:sz w:val="32"/>
          <w:szCs w:val="32"/>
          <w:lang w:val="en-US" w:eastAsia="zh-CN"/>
        </w:rPr>
        <w:t xml:space="preserve">                    </w:t>
      </w:r>
    </w:p>
    <w:p>
      <w:pPr>
        <w:tabs>
          <w:tab w:val="left" w:pos="4200"/>
          <w:tab w:val="center" w:pos="4746"/>
        </w:tabs>
        <w:spacing w:after="156" w:afterLines="50"/>
        <w:jc w:val="both"/>
        <w:rPr>
          <w:rFonts w:hint="eastAsia" w:ascii="宋体" w:hAnsi="宋体"/>
          <w:b/>
          <w:color w:val="000000"/>
          <w:sz w:val="32"/>
          <w:szCs w:val="32"/>
          <w:lang w:val="en-US" w:eastAsia="zh-CN"/>
        </w:rPr>
      </w:pPr>
    </w:p>
    <w:p>
      <w:pPr>
        <w:tabs>
          <w:tab w:val="left" w:pos="4200"/>
          <w:tab w:val="center" w:pos="4746"/>
        </w:tabs>
        <w:spacing w:after="156" w:afterLines="50"/>
        <w:jc w:val="both"/>
        <w:rPr>
          <w:rFonts w:hint="eastAsia" w:ascii="宋体" w:hAnsi="宋体"/>
          <w:b/>
          <w:color w:val="000000"/>
          <w:sz w:val="32"/>
          <w:szCs w:val="32"/>
          <w:lang w:val="en-US" w:eastAsia="zh-CN"/>
        </w:rPr>
      </w:pPr>
    </w:p>
    <w:p>
      <w:pPr>
        <w:tabs>
          <w:tab w:val="left" w:pos="4200"/>
          <w:tab w:val="center" w:pos="4746"/>
        </w:tabs>
        <w:spacing w:after="156" w:afterLines="50"/>
        <w:jc w:val="both"/>
        <w:rPr>
          <w:rFonts w:hint="eastAsia" w:ascii="宋体" w:hAnsi="宋体"/>
          <w:b/>
          <w:color w:val="000000"/>
          <w:sz w:val="32"/>
          <w:szCs w:val="32"/>
          <w:lang w:val="en-US" w:eastAsia="zh-CN"/>
        </w:rPr>
      </w:pPr>
    </w:p>
    <w:p>
      <w:pPr>
        <w:tabs>
          <w:tab w:val="left" w:pos="4200"/>
          <w:tab w:val="center" w:pos="4746"/>
        </w:tabs>
        <w:spacing w:after="156" w:afterLines="50"/>
        <w:jc w:val="both"/>
        <w:rPr>
          <w:rFonts w:hint="eastAsia" w:ascii="宋体" w:hAnsi="宋体"/>
          <w:b/>
          <w:color w:val="000000"/>
          <w:sz w:val="32"/>
          <w:szCs w:val="32"/>
        </w:rPr>
      </w:pPr>
      <w:r>
        <w:rPr>
          <w:rFonts w:hint="eastAsia" w:ascii="宋体" w:hAnsi="宋体"/>
          <w:b/>
          <w:color w:val="000000"/>
          <w:sz w:val="32"/>
          <w:szCs w:val="32"/>
        </w:rPr>
        <w:t>华安财产保险股份有限公司</w:t>
      </w:r>
    </w:p>
    <w:p>
      <w:pPr>
        <w:spacing w:after="156" w:afterLines="50"/>
        <w:ind w:firstLine="643" w:firstLineChars="200"/>
        <w:jc w:val="center"/>
        <w:rPr>
          <w:rFonts w:hint="eastAsia" w:ascii="宋体" w:hAnsi="宋体"/>
          <w:color w:val="000000"/>
          <w:szCs w:val="21"/>
        </w:rPr>
      </w:pPr>
      <w:r>
        <w:rPr>
          <w:rFonts w:hint="eastAsia" w:ascii="宋体" w:hAnsi="宋体"/>
          <w:b/>
          <w:color w:val="000000"/>
          <w:sz w:val="32"/>
          <w:szCs w:val="32"/>
        </w:rPr>
        <w:t>建筑工程团体人身意外</w:t>
      </w:r>
      <w:bookmarkStart w:id="0" w:name="建工险"/>
      <w:bookmarkEnd w:id="0"/>
      <w:r>
        <w:rPr>
          <w:rFonts w:hint="eastAsia" w:ascii="宋体" w:hAnsi="宋体"/>
          <w:b/>
          <w:color w:val="000000"/>
          <w:sz w:val="32"/>
          <w:szCs w:val="32"/>
        </w:rPr>
        <w:t>伤害保险条款</w:t>
      </w:r>
    </w:p>
    <w:p>
      <w:pPr>
        <w:spacing w:after="156" w:afterLines="50"/>
        <w:ind w:firstLine="422" w:firstLineChars="200"/>
        <w:jc w:val="center"/>
        <w:rPr>
          <w:rFonts w:hint="eastAsia" w:ascii="宋体" w:hAnsi="宋体"/>
          <w:b/>
          <w:bCs/>
          <w:color w:val="000000"/>
          <w:szCs w:val="21"/>
        </w:rPr>
      </w:pPr>
      <w:r>
        <w:rPr>
          <w:rFonts w:hint="eastAsia" w:ascii="宋体" w:hAnsi="宋体"/>
          <w:b/>
          <w:bCs/>
          <w:color w:val="000000"/>
          <w:szCs w:val="21"/>
        </w:rPr>
        <w:t>总 则</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第一条 合同构成</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建筑工程团体人身意外伤害保险合同（以下简称"本保险合同"）由保险条款、投保单、保险单、保险凭证以及批单等组成。凡涉及本保险合同的约定，均应采用书面形式。</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第二条 被保险人</w:t>
      </w:r>
    </w:p>
    <w:p>
      <w:pPr>
        <w:widowControl/>
        <w:snapToGrid w:val="0"/>
        <w:spacing w:before="100" w:beforeLines="0" w:beforeAutospacing="1" w:after="156" w:afterLines="50" w:line="360" w:lineRule="auto"/>
        <w:ind w:firstLine="480"/>
        <w:jc w:val="left"/>
        <w:rPr>
          <w:rFonts w:hint="eastAsia" w:ascii="宋体" w:hAnsi="宋体" w:eastAsia="宋体"/>
          <w:bCs/>
          <w:color w:val="000000"/>
          <w:sz w:val="18"/>
          <w:szCs w:val="21"/>
        </w:rPr>
      </w:pPr>
      <w:r>
        <w:rPr>
          <w:rFonts w:hint="eastAsia" w:ascii="宋体" w:hAnsi="宋体" w:eastAsia="宋体"/>
          <w:bCs/>
          <w:color w:val="000000"/>
          <w:sz w:val="18"/>
          <w:szCs w:val="21"/>
        </w:rPr>
        <w:t>凡年满16</w:t>
      </w:r>
      <w:r>
        <w:rPr>
          <w:rFonts w:hint="eastAsia" w:ascii="宋体" w:hAnsi="宋体" w:eastAsia="宋体"/>
          <w:b/>
          <w:color w:val="000000"/>
          <w:sz w:val="18"/>
          <w:szCs w:val="21"/>
        </w:rPr>
        <w:t>周岁</w:t>
      </w:r>
      <w:r>
        <w:rPr>
          <w:rFonts w:hint="eastAsia" w:ascii="宋体" w:hAnsi="宋体" w:eastAsia="宋体"/>
          <w:bCs/>
          <w:color w:val="000000"/>
          <w:sz w:val="18"/>
          <w:szCs w:val="21"/>
        </w:rPr>
        <w:t>（含16周岁）以上、能够正常工作或劳动的与投保人有劳动关系的人员均可作为本保险的被保险人。</w:t>
      </w:r>
    </w:p>
    <w:p>
      <w:pPr>
        <w:keepNext w:val="0"/>
        <w:keepLines w:val="0"/>
        <w:pageBreakBefore w:val="0"/>
        <w:widowControl w:val="0"/>
        <w:kinsoku/>
        <w:wordWrap/>
        <w:overflowPunct/>
        <w:topLinePunct w:val="0"/>
        <w:autoSpaceDE/>
        <w:autoSpaceDN/>
        <w:bidi w:val="0"/>
        <w:adjustRightInd/>
        <w:snapToGrid/>
        <w:spacing w:before="0" w:beforeLines="0" w:after="106" w:afterLines="34" w:line="240" w:lineRule="auto"/>
        <w:ind w:left="0" w:leftChars="0" w:right="0" w:rightChars="0" w:firstLine="361" w:firstLineChars="200"/>
        <w:jc w:val="both"/>
        <w:textAlignment w:val="auto"/>
        <w:outlineLvl w:val="9"/>
        <w:rPr>
          <w:rFonts w:hint="eastAsia" w:ascii="宋体" w:hAnsi="宋体" w:eastAsia="宋体"/>
          <w:b/>
          <w:bCs/>
          <w:color w:val="000000"/>
          <w:sz w:val="18"/>
          <w:szCs w:val="21"/>
        </w:rPr>
      </w:pPr>
      <w:r>
        <w:rPr>
          <w:rFonts w:hint="eastAsia" w:ascii="宋体" w:hAnsi="宋体" w:eastAsia="宋体"/>
          <w:b/>
          <w:bCs/>
          <w:color w:val="000000"/>
          <w:sz w:val="18"/>
          <w:szCs w:val="21"/>
        </w:rPr>
        <w:t>第三条 投保人</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color w:val="000000"/>
          <w:sz w:val="18"/>
          <w:szCs w:val="21"/>
        </w:rPr>
        <w:t>凡从事土木、水利、道路、桥梁等建筑工程施工、线路管道设备安装、构筑物建筑物拆除和建筑装饰装修的企业，均可作为投保人为其在工程项目施工现场从事管理或作业的员工投保本保险</w:t>
      </w:r>
      <w:r>
        <w:rPr>
          <w:rFonts w:hint="eastAsia" w:ascii="宋体" w:hAnsi="宋体" w:eastAsia="宋体"/>
          <w:bCs/>
          <w:color w:val="000000"/>
          <w:sz w:val="18"/>
          <w:szCs w:val="21"/>
        </w:rPr>
        <w:t>，如果投保人采用为被保险人记名方式投保的，其投保的人数</w:t>
      </w:r>
      <w:r>
        <w:rPr>
          <w:rFonts w:hint="eastAsia" w:ascii="宋体" w:hAnsi="宋体" w:eastAsia="宋体"/>
          <w:color w:val="000000"/>
          <w:sz w:val="18"/>
          <w:szCs w:val="21"/>
        </w:rPr>
        <w:t>应占团体中符合参保条件成员总数的75%（含75%）</w:t>
      </w:r>
      <w:r>
        <w:rPr>
          <w:rFonts w:hint="eastAsia" w:ascii="宋体" w:hAnsi="宋体" w:eastAsia="宋体"/>
          <w:bCs/>
          <w:color w:val="000000"/>
          <w:sz w:val="18"/>
          <w:szCs w:val="21"/>
        </w:rPr>
        <w:t>以上，且投保人数不低于5人。</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第四条 受益人</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（一）身故保险金受益人</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1. 订立本保险合同时，被保险人或投保人可指定一人或数人为身故保险金受益人。身故保险金受益人为数人时，应确定其受益顺序和受益份额；未确定受益份额的，各身故保险金受益人按照相等份额享有受益权。投保人指定受益人时须经被保险人同意。</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投保人为与其有劳动关系的劳动者投保人身保险，不得指定被保险人及其近亲属以外的人为受益人。</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2. 被保险人或投保人可以变更身故保险金受益人，但需书面通知</w:t>
      </w:r>
      <w:r>
        <w:rPr>
          <w:rFonts w:hint="eastAsia" w:ascii="宋体" w:hAnsi="宋体" w:eastAsia="宋体"/>
          <w:b/>
          <w:color w:val="000000"/>
          <w:sz w:val="18"/>
          <w:szCs w:val="21"/>
        </w:rPr>
        <w:t>保险人</w:t>
      </w:r>
      <w:r>
        <w:rPr>
          <w:rFonts w:hint="eastAsia" w:ascii="宋体" w:hAnsi="宋体" w:eastAsia="宋体"/>
          <w:bCs/>
          <w:color w:val="000000"/>
          <w:sz w:val="18"/>
          <w:szCs w:val="21"/>
        </w:rPr>
        <w:t>，由保险人在本保险合同上批注。</w:t>
      </w:r>
      <w:r>
        <w:rPr>
          <w:rFonts w:hint="eastAsia" w:ascii="宋体" w:hAnsi="宋体" w:eastAsia="宋体"/>
          <w:b/>
          <w:bCs/>
          <w:color w:val="000000"/>
          <w:sz w:val="18"/>
          <w:szCs w:val="21"/>
        </w:rPr>
        <w:t>对因身故保险金受益人变更发生的法律纠纷，保险人不承担任何责任。</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投保人指定或变更身故保险金受益人的，应经被保险人书面同意。被保险人为无民事行为能力人或限制民事行为能力人的，应由其监护人指定或变更身故保险金受益人。</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3. 被保险人身故后，有下列情形之一的，身故保险金作为被保险人的遗产，由保险人依照《中华人民共和国继承法》的规定履行给付保险金的义务：</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（1）没有指定受益人的，或者受益人指定不明无法确定的；</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（2）受益人先于被保险人死亡，没有其他受益人的；</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（3）受益人依法丧失受益权或者放弃受益权，没有其他受益人的。</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受益人与被保险人在同一事件中死亡，且不能确定死亡先后顺序的，推定受益人死亡在先。</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（二）残疾保险金受益人</w:t>
      </w:r>
    </w:p>
    <w:p>
      <w:pPr>
        <w:adjustRightInd w:val="0"/>
        <w:snapToGrid w:val="0"/>
        <w:spacing w:after="156" w:afterLines="50"/>
        <w:ind w:firstLine="360" w:firstLineChars="200"/>
        <w:rPr>
          <w:rFonts w:hint="eastAsia" w:ascii="宋体" w:hAnsi="宋体" w:eastAsia="宋体"/>
          <w:b/>
          <w:bCs/>
          <w:color w:val="000000"/>
          <w:sz w:val="18"/>
          <w:szCs w:val="21"/>
        </w:rPr>
      </w:pPr>
      <w:r>
        <w:rPr>
          <w:rFonts w:hint="eastAsia" w:ascii="宋体" w:hAnsi="宋体" w:eastAsia="宋体"/>
          <w:bCs/>
          <w:color w:val="000000"/>
          <w:sz w:val="18"/>
          <w:szCs w:val="21"/>
        </w:rPr>
        <w:t>除另有约定外，本保险合同的残疾保险金受益人为被保险人本人</w:t>
      </w:r>
    </w:p>
    <w:p>
      <w:pPr>
        <w:spacing w:after="156" w:afterLines="50"/>
        <w:ind w:firstLine="361" w:firstLineChars="200"/>
        <w:jc w:val="center"/>
        <w:rPr>
          <w:rFonts w:hint="eastAsia" w:ascii="宋体" w:hAnsi="宋体" w:eastAsia="宋体"/>
          <w:b/>
          <w:bCs/>
          <w:color w:val="000000"/>
          <w:sz w:val="18"/>
          <w:szCs w:val="21"/>
        </w:rPr>
      </w:pPr>
      <w:r>
        <w:rPr>
          <w:rFonts w:hint="eastAsia" w:ascii="宋体" w:hAnsi="宋体" w:eastAsia="宋体"/>
          <w:b/>
          <w:bCs/>
          <w:color w:val="000000"/>
          <w:sz w:val="18"/>
          <w:szCs w:val="21"/>
        </w:rPr>
        <w:t>保险责任</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第五条 保险责任</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color w:val="000000"/>
          <w:sz w:val="18"/>
          <w:szCs w:val="21"/>
        </w:rPr>
        <w:t>在保险期间内，被保险人在施工现场从事建筑施工或从事与建筑施工相关的工作期间遭受</w:t>
      </w:r>
      <w:r>
        <w:rPr>
          <w:rFonts w:hint="eastAsia" w:ascii="宋体" w:hAnsi="宋体" w:eastAsia="宋体"/>
          <w:b/>
          <w:bCs/>
          <w:color w:val="000000"/>
          <w:sz w:val="18"/>
          <w:szCs w:val="21"/>
        </w:rPr>
        <w:t>意外伤害</w:t>
      </w:r>
      <w:r>
        <w:rPr>
          <w:rFonts w:hint="eastAsia" w:ascii="宋体" w:hAnsi="宋体" w:eastAsia="宋体"/>
          <w:bCs/>
          <w:color w:val="000000"/>
          <w:sz w:val="18"/>
          <w:szCs w:val="21"/>
        </w:rPr>
        <w:t>导致身故或残疾的，保险人依照下列约定给付保险金，且给付各项保险金之和不超过保险金额。</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（一）身故保险责任</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在保险期间内，被保险人遭受意外伤害事故，并自事故发生之日起180日内因该事故身故的，保险人按保险金额给付身故保险金，对该被保险人的保险责任终止。</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被保险人因遭受意外伤害事故且自该事故发生日起下落不明，后经人民法院宣告死亡的，保险人按保险金额给付身故保险金。但若被保险人被宣告死亡后生还的，保险金受领人应于知道或应当知道被保险人生还后30日内退还保险人给付的身故保险金。</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被保险人身故前保险人已给付本条第二款约定的残疾保险金的，身故保险金应扣除已给付的保险金。</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（二）残疾保险责任</w:t>
      </w:r>
    </w:p>
    <w:p>
      <w:pPr>
        <w:autoSpaceDN w:val="0"/>
        <w:snapToGrid w:val="0"/>
        <w:spacing w:after="200" w:afterLines="0"/>
        <w:ind w:firstLine="360" w:firstLineChars="200"/>
        <w:rPr>
          <w:rFonts w:hint="eastAsia" w:ascii="宋体" w:hAnsi="宋体" w:eastAsia="宋体"/>
          <w:color w:val="000000"/>
          <w:sz w:val="18"/>
        </w:rPr>
      </w:pPr>
      <w:r>
        <w:rPr>
          <w:rFonts w:hint="eastAsia" w:ascii="宋体" w:hAnsi="宋体" w:eastAsia="宋体"/>
          <w:color w:val="000000"/>
          <w:sz w:val="18"/>
        </w:rPr>
        <w:t>在保险期间内，被保险人遭受意外伤害事故，且依据本保险合同约定的</w:t>
      </w:r>
      <w:r>
        <w:rPr>
          <w:rFonts w:hint="eastAsia" w:ascii="宋体" w:hAnsi="宋体" w:eastAsia="宋体"/>
          <w:b/>
          <w:bCs/>
          <w:color w:val="000000"/>
          <w:sz w:val="18"/>
        </w:rPr>
        <w:t>评定时机</w:t>
      </w:r>
      <w:r>
        <w:rPr>
          <w:rFonts w:hint="eastAsia" w:ascii="宋体" w:hAnsi="宋体" w:eastAsia="宋体"/>
          <w:color w:val="000000"/>
          <w:sz w:val="18"/>
        </w:rPr>
        <w:t>，被评定为因该事故造成的本保险合同所附《人身保险伤残评定标准》（行业标准）中所列残疾情形之一的，保险人按该表所列给付比例乘以保险金额给付残疾保险金。</w:t>
      </w:r>
    </w:p>
    <w:p>
      <w:pPr>
        <w:autoSpaceDN w:val="0"/>
        <w:snapToGrid w:val="0"/>
        <w:spacing w:after="200" w:afterLines="0"/>
        <w:ind w:firstLine="360" w:firstLineChars="200"/>
        <w:rPr>
          <w:rFonts w:hint="eastAsia" w:ascii="宋体" w:hAnsi="宋体" w:eastAsia="宋体"/>
          <w:color w:val="000000"/>
          <w:sz w:val="18"/>
        </w:rPr>
      </w:pPr>
      <w:r>
        <w:rPr>
          <w:rFonts w:hint="eastAsia" w:ascii="宋体" w:hAnsi="宋体" w:eastAsia="宋体"/>
          <w:bCs/>
          <w:color w:val="000000"/>
          <w:sz w:val="18"/>
          <w:szCs w:val="21"/>
        </w:rPr>
        <w:t xml:space="preserve">1. </w:t>
      </w:r>
      <w:r>
        <w:rPr>
          <w:rFonts w:hint="eastAsia" w:ascii="宋体" w:hAnsi="宋体" w:eastAsia="宋体" w:cs="宋体"/>
          <w:color w:val="000000"/>
          <w:sz w:val="18"/>
          <w:szCs w:val="21"/>
        </w:rPr>
        <w:t>被保险人因同一意外伤害事故导致两处或两处以上伤残时，保险人将以最重的伤残等级作为最终的评定结论，如果两处或两处以上伤残等级相同，伤残等级在原评定基础上最多晋升一级，最高晋升至第一级，并按此给付残疾保险金。</w:t>
      </w:r>
    </w:p>
    <w:p>
      <w:pPr>
        <w:autoSpaceDN w:val="0"/>
        <w:snapToGrid w:val="0"/>
        <w:spacing w:after="200" w:afterLines="0"/>
        <w:ind w:firstLine="360" w:firstLineChars="200"/>
        <w:rPr>
          <w:rFonts w:hint="eastAsia" w:ascii="宋体" w:hAnsi="宋体" w:eastAsia="宋体"/>
          <w:color w:val="000000"/>
          <w:sz w:val="18"/>
        </w:rPr>
      </w:pPr>
      <w:r>
        <w:rPr>
          <w:rFonts w:hint="eastAsia" w:ascii="宋体" w:hAnsi="宋体" w:eastAsia="宋体"/>
          <w:bCs/>
          <w:color w:val="000000"/>
          <w:sz w:val="18"/>
          <w:szCs w:val="21"/>
        </w:rPr>
        <w:t xml:space="preserve">2. </w:t>
      </w:r>
      <w:r>
        <w:rPr>
          <w:rFonts w:hint="eastAsia" w:ascii="宋体" w:hAnsi="宋体" w:eastAsia="宋体"/>
          <w:color w:val="000000"/>
          <w:sz w:val="18"/>
        </w:rPr>
        <w:t>被保险人如在本次意外伤害事故之前已有残疾，保险人按合并后的残疾程度在《人身保险伤残评定标准》（行业标准）中所对应的给付比例给付残疾保险金，但应扣除原有残疾程度在《人身保险伤残评定标准》（行业标准）所对应的残疾保险金。</w:t>
      </w:r>
    </w:p>
    <w:p>
      <w:pPr>
        <w:adjustRightInd w:val="0"/>
        <w:snapToGrid w:val="0"/>
        <w:spacing w:after="156" w:afterLines="50"/>
        <w:ind w:firstLine="361" w:firstLineChars="200"/>
        <w:rPr>
          <w:rFonts w:hint="eastAsia" w:ascii="宋体" w:hAnsi="宋体" w:eastAsia="宋体"/>
          <w:b/>
          <w:bCs/>
          <w:color w:val="000000"/>
          <w:sz w:val="18"/>
          <w:szCs w:val="21"/>
        </w:rPr>
      </w:pPr>
    </w:p>
    <w:p>
      <w:pPr>
        <w:spacing w:after="156" w:afterLines="50"/>
        <w:ind w:firstLine="361" w:firstLineChars="200"/>
        <w:jc w:val="center"/>
        <w:rPr>
          <w:rFonts w:hint="eastAsia" w:ascii="宋体" w:hAnsi="宋体" w:eastAsia="宋体"/>
          <w:b/>
          <w:bCs/>
          <w:color w:val="000000"/>
          <w:sz w:val="18"/>
          <w:szCs w:val="21"/>
        </w:rPr>
      </w:pPr>
      <w:r>
        <w:rPr>
          <w:rFonts w:hint="eastAsia" w:ascii="宋体" w:hAnsi="宋体" w:eastAsia="宋体"/>
          <w:b/>
          <w:bCs/>
          <w:color w:val="000000"/>
          <w:sz w:val="18"/>
          <w:szCs w:val="21"/>
        </w:rPr>
        <w:t>责任免除</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第六条 原因除外</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因下列原因造成被保险人身故或残疾的，保险人不承担给付保险金责任：</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（一）投保人的故意行为；</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（二）被保险人自致伤害或自杀，但被保险人自杀时为无民事行为能力人的除外；</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（三）因被保险人挑衅或故意行为而导致的打斗、被袭击或被谋杀；</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（四）被保险人妊娠、流产、分娩、疾病、药物过敏、猝死、中暑、高原反应；</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（五）被保险人因检查、麻醉、整容、内外科手术或药物治疗而导致的医疗事故；</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（六）被保险人未遵医嘱，私自服用、涂用、注射药物；</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（七）任何生物、化学、原子能武器，原子能或核能装置所造成的爆炸、灼伤、污染或辐射；</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（八）恐怖袭击；</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（九）被保险人在从事非建筑施工及与建筑施工不相关的工作，或在施工现场外发生的意外伤害事故。</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第七条 期间除外</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被保险人在下列期间遭受伤害导致身故或残疾的，保险人也不承担给付保险金责任：</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（一）战争、军事行动、暴动或武装叛乱期间；</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（二）被保险人在犯罪活动期间或者抗拒依法采取的刑事强制措施期间；</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（三）被保险人醉酒或者受毒品、管制药物的影响期间；</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（四）被保险人饮酒驾车、醉酒驾车、无有效驾驶证驾驶或驾驶无有效行驶证的机动交通工具期间以及无有效资质操作施工设备期间；</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（五）被保险人在精神病、癫痫病发作期间。</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（六）被保险人患艾滋病（AIDS）或感染艾滋病病毒（HIV呈阳性）期间；</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第八条 投保人未按本保险合同约定交清保险费，被保险人发生保险事故的，保险人不负给付保险金责任。</w:t>
      </w:r>
    </w:p>
    <w:p>
      <w:pPr>
        <w:adjustRightInd w:val="0"/>
        <w:snapToGrid w:val="0"/>
        <w:spacing w:after="156" w:afterLines="50"/>
        <w:ind w:firstLine="361" w:firstLineChars="200"/>
        <w:rPr>
          <w:rFonts w:hint="eastAsia" w:ascii="宋体" w:hAnsi="宋体" w:eastAsia="宋体"/>
          <w:color w:val="000000"/>
          <w:sz w:val="18"/>
          <w:szCs w:val="21"/>
        </w:rPr>
      </w:pPr>
      <w:r>
        <w:rPr>
          <w:rFonts w:hint="eastAsia" w:ascii="宋体" w:hAnsi="宋体" w:eastAsia="宋体"/>
          <w:b/>
          <w:bCs/>
          <w:color w:val="000000"/>
          <w:sz w:val="18"/>
          <w:szCs w:val="21"/>
        </w:rPr>
        <w:t>第九条 若由于本保险合同中责任免除的情形导致的被保险人死亡，本合同对该被保险人的保险责任终止，保险人将退还未满期净保费。</w:t>
      </w:r>
    </w:p>
    <w:p>
      <w:pPr>
        <w:spacing w:after="156" w:afterLines="50"/>
        <w:ind w:firstLine="361" w:firstLineChars="200"/>
        <w:jc w:val="center"/>
        <w:rPr>
          <w:rFonts w:hint="eastAsia" w:ascii="宋体" w:hAnsi="宋体" w:eastAsia="宋体"/>
          <w:b/>
          <w:bCs/>
          <w:color w:val="000000"/>
          <w:sz w:val="18"/>
          <w:szCs w:val="21"/>
        </w:rPr>
      </w:pPr>
      <w:r>
        <w:rPr>
          <w:rFonts w:hint="eastAsia" w:ascii="宋体" w:hAnsi="宋体" w:eastAsia="宋体"/>
          <w:b/>
          <w:bCs/>
          <w:color w:val="000000"/>
          <w:sz w:val="18"/>
          <w:szCs w:val="21"/>
        </w:rPr>
        <w:t>保险金额和保险费</w:t>
      </w:r>
    </w:p>
    <w:p>
      <w:pPr>
        <w:spacing w:after="156" w:afterLines="50"/>
        <w:ind w:firstLine="361" w:firstLineChars="200"/>
        <w:rPr>
          <w:rFonts w:hint="eastAsia" w:ascii="宋体" w:hAnsi="宋体" w:eastAsia="宋体"/>
          <w:bCs/>
          <w:color w:val="000000"/>
          <w:sz w:val="18"/>
          <w:szCs w:val="21"/>
        </w:rPr>
      </w:pPr>
      <w:r>
        <w:rPr>
          <w:rFonts w:hint="eastAsia" w:ascii="宋体" w:hAnsi="宋体" w:eastAsia="宋体"/>
          <w:b/>
          <w:bCs/>
          <w:color w:val="000000"/>
          <w:sz w:val="18"/>
          <w:szCs w:val="21"/>
        </w:rPr>
        <w:t xml:space="preserve">第十条 </w:t>
      </w:r>
      <w:r>
        <w:rPr>
          <w:rFonts w:hint="eastAsia" w:ascii="宋体" w:hAnsi="宋体" w:eastAsia="宋体"/>
          <w:bCs/>
          <w:color w:val="000000"/>
          <w:sz w:val="18"/>
          <w:szCs w:val="21"/>
        </w:rPr>
        <w:t>（一）保险金额是保险人承担给付保险金责任的最高限额。保险金额由投保人、保险人双方约定，并在保险单中载明。</w:t>
      </w:r>
      <w:r>
        <w:rPr>
          <w:rFonts w:hint="eastAsia" w:ascii="宋体" w:hAnsi="宋体" w:eastAsia="宋体"/>
          <w:color w:val="000000"/>
          <w:sz w:val="18"/>
          <w:szCs w:val="21"/>
        </w:rPr>
        <w:t>最低为人民币5,000元/人。同一保险合同所承保的每一被保险人的保险金额须一致。</w:t>
      </w:r>
    </w:p>
    <w:p>
      <w:pPr>
        <w:adjustRightInd w:val="0"/>
        <w:snapToGrid w:val="0"/>
        <w:spacing w:after="156" w:afterLines="50"/>
        <w:ind w:firstLine="270" w:firstLineChars="150"/>
        <w:rPr>
          <w:rFonts w:hint="eastAsia" w:ascii="宋体" w:hAnsi="宋体" w:eastAsia="宋体"/>
          <w:color w:val="000000"/>
          <w:sz w:val="18"/>
          <w:szCs w:val="21"/>
        </w:rPr>
      </w:pPr>
      <w:r>
        <w:rPr>
          <w:rFonts w:hint="eastAsia" w:ascii="宋体" w:hAnsi="宋体" w:eastAsia="宋体"/>
          <w:color w:val="000000"/>
          <w:sz w:val="18"/>
          <w:szCs w:val="21"/>
        </w:rPr>
        <w:t>（二）保险费的计收方式有以下三种：</w:t>
      </w:r>
    </w:p>
    <w:p>
      <w:pPr>
        <w:adjustRightInd w:val="0"/>
        <w:snapToGrid w:val="0"/>
        <w:spacing w:after="156" w:afterLines="50"/>
        <w:ind w:firstLine="360" w:firstLineChars="200"/>
        <w:rPr>
          <w:rFonts w:hint="eastAsia" w:ascii="宋体" w:hAnsi="宋体" w:eastAsia="宋体"/>
          <w:color w:val="000000"/>
          <w:sz w:val="18"/>
          <w:szCs w:val="21"/>
        </w:rPr>
      </w:pPr>
      <w:r>
        <w:rPr>
          <w:rFonts w:hint="eastAsia" w:ascii="宋体" w:hAnsi="宋体" w:eastAsia="宋体"/>
          <w:color w:val="000000"/>
          <w:sz w:val="18"/>
          <w:szCs w:val="21"/>
        </w:rPr>
        <w:t>1、按照被保险人人数和保险期间年数计收，保险期间不足整年部分按短期费率计收；</w:t>
      </w:r>
    </w:p>
    <w:p>
      <w:pPr>
        <w:adjustRightInd w:val="0"/>
        <w:snapToGrid w:val="0"/>
        <w:spacing w:after="156" w:afterLines="50"/>
        <w:ind w:firstLine="360" w:firstLineChars="200"/>
        <w:rPr>
          <w:rFonts w:hint="eastAsia" w:ascii="宋体" w:hAnsi="宋体" w:eastAsia="宋体"/>
          <w:color w:val="000000"/>
          <w:sz w:val="18"/>
          <w:szCs w:val="21"/>
        </w:rPr>
      </w:pPr>
      <w:r>
        <w:rPr>
          <w:rFonts w:hint="eastAsia" w:ascii="宋体" w:hAnsi="宋体" w:eastAsia="宋体"/>
          <w:color w:val="000000"/>
          <w:sz w:val="18"/>
          <w:szCs w:val="21"/>
        </w:rPr>
        <w:t>2、按照工程合同造价计收；</w:t>
      </w:r>
    </w:p>
    <w:p>
      <w:pPr>
        <w:adjustRightInd w:val="0"/>
        <w:snapToGrid w:val="0"/>
        <w:spacing w:after="156" w:afterLines="50"/>
        <w:ind w:firstLine="360" w:firstLineChars="200"/>
        <w:rPr>
          <w:rFonts w:hint="eastAsia" w:ascii="宋体" w:hAnsi="宋体" w:eastAsia="宋体"/>
          <w:color w:val="000000"/>
          <w:sz w:val="18"/>
          <w:szCs w:val="21"/>
        </w:rPr>
      </w:pPr>
      <w:r>
        <w:rPr>
          <w:rFonts w:hint="eastAsia" w:ascii="宋体" w:hAnsi="宋体" w:eastAsia="宋体"/>
          <w:color w:val="000000"/>
          <w:sz w:val="18"/>
          <w:szCs w:val="21"/>
        </w:rPr>
        <w:t>3、按照工程建筑面积计收。</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本保险合同的保险费将根据约定的保险金额和费率标准确定，并在保险单中载明。除另有约定外，投保人应当在保险合同成立时一次性交清保险费。</w:t>
      </w:r>
    </w:p>
    <w:p>
      <w:pPr>
        <w:spacing w:after="156" w:afterLines="50"/>
        <w:ind w:firstLine="361" w:firstLineChars="200"/>
        <w:jc w:val="center"/>
        <w:rPr>
          <w:rFonts w:hint="eastAsia" w:ascii="宋体" w:hAnsi="宋体" w:eastAsia="宋体"/>
          <w:b/>
          <w:bCs/>
          <w:color w:val="000000"/>
          <w:sz w:val="18"/>
          <w:szCs w:val="21"/>
        </w:rPr>
      </w:pPr>
      <w:r>
        <w:rPr>
          <w:rFonts w:hint="eastAsia" w:ascii="宋体" w:hAnsi="宋体" w:eastAsia="宋体"/>
          <w:b/>
          <w:bCs/>
          <w:color w:val="000000"/>
          <w:sz w:val="18"/>
          <w:szCs w:val="21"/>
        </w:rPr>
        <w:t>保险期间</w:t>
      </w:r>
    </w:p>
    <w:p>
      <w:pPr>
        <w:spacing w:after="156" w:afterLines="50"/>
        <w:ind w:firstLine="361" w:firstLineChars="200"/>
        <w:rPr>
          <w:rFonts w:hint="eastAsia" w:ascii="宋体" w:hAnsi="宋体" w:eastAsia="宋体"/>
          <w:color w:val="000000"/>
          <w:sz w:val="18"/>
          <w:szCs w:val="21"/>
        </w:rPr>
      </w:pPr>
      <w:r>
        <w:rPr>
          <w:rFonts w:hint="eastAsia" w:ascii="宋体" w:hAnsi="宋体" w:eastAsia="宋体"/>
          <w:b/>
          <w:bCs/>
          <w:color w:val="000000"/>
          <w:sz w:val="18"/>
          <w:szCs w:val="21"/>
        </w:rPr>
        <w:t xml:space="preserve">第十一条 </w:t>
      </w:r>
      <w:r>
        <w:rPr>
          <w:rFonts w:hint="eastAsia" w:ascii="宋体" w:hAnsi="宋体" w:eastAsia="宋体"/>
          <w:color w:val="000000"/>
          <w:sz w:val="18"/>
          <w:szCs w:val="21"/>
        </w:rPr>
        <w:t>本合同的保险期间根据施工项目期限确定，</w:t>
      </w:r>
      <w:r>
        <w:rPr>
          <w:rFonts w:hint="eastAsia" w:ascii="宋体" w:hAnsi="宋体" w:eastAsia="宋体"/>
          <w:bCs/>
          <w:color w:val="000000"/>
          <w:sz w:val="18"/>
          <w:szCs w:val="21"/>
        </w:rPr>
        <w:t>以保险单载明的起讫时间为准</w:t>
      </w:r>
      <w:r>
        <w:rPr>
          <w:rFonts w:hint="eastAsia" w:ascii="宋体" w:hAnsi="宋体" w:eastAsia="宋体"/>
          <w:color w:val="000000"/>
          <w:sz w:val="18"/>
          <w:szCs w:val="21"/>
        </w:rPr>
        <w:t>，最长不超过五年。</w:t>
      </w:r>
    </w:p>
    <w:p>
      <w:pPr>
        <w:adjustRightInd w:val="0"/>
        <w:snapToGrid w:val="0"/>
        <w:spacing w:after="156" w:afterLines="50"/>
        <w:ind w:firstLine="360" w:firstLineChars="200"/>
        <w:rPr>
          <w:rFonts w:hint="eastAsia" w:ascii="宋体" w:hAnsi="宋体" w:eastAsia="宋体"/>
          <w:color w:val="000000"/>
          <w:sz w:val="18"/>
          <w:szCs w:val="21"/>
        </w:rPr>
      </w:pPr>
      <w:r>
        <w:rPr>
          <w:rFonts w:hint="eastAsia" w:ascii="宋体" w:hAnsi="宋体" w:eastAsia="宋体"/>
          <w:color w:val="000000"/>
          <w:sz w:val="18"/>
          <w:szCs w:val="21"/>
        </w:rPr>
        <w:t>提前竣工的，保险责任自行终止，保险人对投保人退还未满期净保费，但退还保险费最多不超过投保人缴纳保险费的30％。</w:t>
      </w:r>
    </w:p>
    <w:p>
      <w:pPr>
        <w:adjustRightInd w:val="0"/>
        <w:snapToGrid w:val="0"/>
        <w:spacing w:after="156" w:afterLines="50"/>
        <w:ind w:firstLine="360" w:firstLineChars="200"/>
        <w:rPr>
          <w:rFonts w:hint="eastAsia" w:ascii="宋体" w:hAnsi="宋体" w:eastAsia="宋体"/>
          <w:color w:val="000000"/>
          <w:sz w:val="18"/>
          <w:szCs w:val="21"/>
        </w:rPr>
      </w:pPr>
      <w:r>
        <w:rPr>
          <w:rFonts w:hint="eastAsia" w:ascii="宋体" w:hAnsi="宋体" w:eastAsia="宋体"/>
          <w:color w:val="000000"/>
          <w:sz w:val="18"/>
          <w:szCs w:val="21"/>
        </w:rPr>
        <w:t>本合同期满时工程仍未竣工的，投保人需申请办理续保，保险人审核同意并收取保险费后，保险期间将延续至续保约定的工程预期竣工日二十四时止，保险费按续保约定的保险期间经过日数计算（一年按365日计算）。</w:t>
      </w:r>
    </w:p>
    <w:p>
      <w:pPr>
        <w:adjustRightInd w:val="0"/>
        <w:snapToGrid w:val="0"/>
        <w:spacing w:after="156" w:afterLines="50"/>
        <w:ind w:firstLine="360" w:firstLineChars="200"/>
        <w:rPr>
          <w:rFonts w:hint="eastAsia" w:ascii="宋体" w:hAnsi="宋体" w:eastAsia="宋体"/>
          <w:color w:val="000000"/>
          <w:sz w:val="18"/>
          <w:szCs w:val="21"/>
        </w:rPr>
      </w:pPr>
      <w:r>
        <w:rPr>
          <w:rFonts w:hint="eastAsia" w:ascii="宋体" w:hAnsi="宋体" w:eastAsia="宋体"/>
          <w:color w:val="000000"/>
          <w:sz w:val="18"/>
          <w:szCs w:val="21"/>
        </w:rPr>
        <w:t>施工企业因各种客观原因造成工程停顿，投保人可以书面形式向保险人申请暂时中止保险合同。保险人审核确认后，本合同自保险人接到书面申请的次日零时起中止。在本合同中止期间发生的保险事故，保险人不承担给付保险金的责任。工程重新开工后，投保人可书面申请恢复本合同效力，自保险人确认同意后的次日零时起，合同效力恢复，但累计有效保险期间不得长于本合同约定的保险期间。</w:t>
      </w:r>
    </w:p>
    <w:p>
      <w:pPr>
        <w:spacing w:after="156" w:afterLines="50"/>
        <w:ind w:firstLine="361" w:firstLineChars="200"/>
        <w:jc w:val="center"/>
        <w:rPr>
          <w:rFonts w:hint="eastAsia" w:ascii="宋体" w:hAnsi="宋体" w:eastAsia="宋体"/>
          <w:b/>
          <w:bCs/>
          <w:color w:val="000000"/>
          <w:sz w:val="18"/>
          <w:szCs w:val="21"/>
        </w:rPr>
      </w:pPr>
      <w:r>
        <w:rPr>
          <w:rFonts w:hint="eastAsia" w:ascii="宋体" w:hAnsi="宋体" w:eastAsia="宋体"/>
          <w:b/>
          <w:bCs/>
          <w:color w:val="000000"/>
          <w:sz w:val="18"/>
          <w:szCs w:val="21"/>
        </w:rPr>
        <w:t>保险人义务</w:t>
      </w:r>
    </w:p>
    <w:p>
      <w:pPr>
        <w:spacing w:after="156" w:afterLines="50"/>
        <w:ind w:firstLine="361" w:firstLineChars="200"/>
        <w:rPr>
          <w:rFonts w:hint="eastAsia" w:ascii="宋体" w:hAnsi="宋体" w:eastAsia="宋体"/>
          <w:bCs/>
          <w:color w:val="000000"/>
          <w:sz w:val="18"/>
          <w:szCs w:val="21"/>
        </w:rPr>
      </w:pPr>
      <w:r>
        <w:rPr>
          <w:rFonts w:hint="eastAsia" w:ascii="宋体" w:hAnsi="宋体" w:eastAsia="宋体"/>
          <w:b/>
          <w:bCs/>
          <w:color w:val="000000"/>
          <w:sz w:val="18"/>
          <w:szCs w:val="21"/>
        </w:rPr>
        <w:t>第十二条 明确说明义务</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订立保险合同时，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第十三条 签发保单义务</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本保险合同成立后，保险人应当及时向投保人签发保险单或其他保险凭证。</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第十四条 补充索赔证明和资料的通知</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保险人认为</w:t>
      </w:r>
      <w:r>
        <w:rPr>
          <w:rFonts w:hint="eastAsia" w:ascii="宋体" w:hAnsi="宋体" w:eastAsia="宋体"/>
          <w:b/>
          <w:color w:val="000000"/>
          <w:sz w:val="18"/>
          <w:szCs w:val="21"/>
        </w:rPr>
        <w:t>保险金申请人</w:t>
      </w:r>
      <w:r>
        <w:rPr>
          <w:rFonts w:hint="eastAsia" w:ascii="宋体" w:hAnsi="宋体" w:eastAsia="宋体"/>
          <w:bCs/>
          <w:color w:val="000000"/>
          <w:sz w:val="18"/>
          <w:szCs w:val="21"/>
        </w:rPr>
        <w:t>提供的有关索赔的证明和资料不完整的，应当及时一次性通知保险金申请人补充提供。</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第十五条 及时核定、赔付义务</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保险人收到保险金申请人的给付保险金的请求后，应当及时作出是否属于保险责任的核定；情形复杂的，应当在三十日内作出核定，但保险合同另有约定的除外。</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保险人应当将核定结果通知保险金申请人；对属于保险责任的，在与保险金申请人达成给付保险金的协议后十日内，履行给付保险金义务。保险合同对给付保险金的期限有约定的，保险人应当按照约定履行给付保险金的义务。</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保险人依照前款约定作出核定后，对不属于保险责任的，应当自作出核定之日起三日内向保险金申请人发出拒绝给付保险金通知书，并说明理由。</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第十六条 先行赔付义务</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保险人自收到给付保险金的请求和有关证明、资料之日起六十日内，对其给付的数额不能确定的，应当根据已有证明和资料可以确定的数额先予支付；保险人最终确定给付的数额后，应当支付相应的差额。</w:t>
      </w:r>
    </w:p>
    <w:p>
      <w:pPr>
        <w:spacing w:after="156" w:afterLines="50"/>
        <w:ind w:firstLine="361" w:firstLineChars="200"/>
        <w:jc w:val="center"/>
        <w:rPr>
          <w:rFonts w:hint="eastAsia" w:ascii="宋体" w:hAnsi="宋体" w:eastAsia="宋体"/>
          <w:b/>
          <w:bCs/>
          <w:color w:val="000000"/>
          <w:sz w:val="18"/>
          <w:szCs w:val="21"/>
        </w:rPr>
      </w:pPr>
      <w:r>
        <w:rPr>
          <w:rFonts w:hint="eastAsia" w:ascii="宋体" w:hAnsi="宋体" w:eastAsia="宋体"/>
          <w:b/>
          <w:bCs/>
          <w:color w:val="000000"/>
          <w:sz w:val="18"/>
          <w:szCs w:val="21"/>
        </w:rPr>
        <w:t>投保人、被保险人义务</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第十七条 交费义务</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除另有约定外，投保人应当在保险合同成立时一次性交清保险费。</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第十八条 如实告知义务</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订立保险合同，保险人就保险标的或者被保险人的有关情况提出询问的，投保人应当如实告知。</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投保人故意或者因重大过失未履行前款规定的义务，足以影响保险人决定是否同意承保或者提高保险费率的，保险人有权解除本合同。</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前款规定的合同解除权，自保险人知道有解除事由之日起，超过三十日不行使而消灭。自合同成立之日起超过二年的，保险人不得解除合同；发生保险事故的，保险人应当承担给付保险金责任。</w:t>
      </w:r>
      <w:r>
        <w:rPr>
          <w:rFonts w:hint="eastAsia" w:ascii="宋体" w:hAnsi="宋体" w:eastAsia="宋体"/>
          <w:bCs/>
          <w:color w:val="000000"/>
          <w:sz w:val="18"/>
          <w:szCs w:val="21"/>
        </w:rPr>
        <w:br w:type="textWrapping"/>
      </w:r>
      <w:r>
        <w:rPr>
          <w:rFonts w:hint="eastAsia" w:ascii="宋体" w:hAnsi="宋体" w:eastAsia="宋体"/>
          <w:bCs/>
          <w:color w:val="000000"/>
          <w:sz w:val="18"/>
          <w:szCs w:val="21"/>
        </w:rPr>
        <w:t xml:space="preserve">    </w:t>
      </w:r>
      <w:r>
        <w:rPr>
          <w:rFonts w:hint="eastAsia" w:ascii="宋体" w:hAnsi="宋体" w:eastAsia="宋体"/>
          <w:b/>
          <w:bCs/>
          <w:color w:val="000000"/>
          <w:sz w:val="18"/>
          <w:szCs w:val="21"/>
        </w:rPr>
        <w:t>投保人故意不履行如实告知义务的，保险人对于合同解除前发生的保险事故，不承担给付保险金责任，并不退还保险费。</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投保人因重大过失未履行如实告知义务，对保险事故的发生有严重影响的，保险人对于合同解除前发生的保险事故，不承担给付保险金责任，但应当退还保险费。</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保险人在合同订立时已经知道投保人未如实告知的情况的，保险人不得解除合同；发生保险事故的，保险人应当承担给付保险金责任。</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第十九条 住所或通讯地址变更通知义务</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投保人住所或通讯地址变更时，应及时以书面形式通知保险人。投保人未通知的，保险人按本保险合同所载的最后住所或通讯地址发送的有关通知，均视为已发送给投保人。</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第二十条 被保险人变动通知义务</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投保人采用为被保险人记名方式投保的，在保险期间内，投保人因其人员变动，需增加、减少被保险人时，应以书面形式向保险人提出申请。保险人同意后出具批单，并在本保险合同中批注。</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被保险人人数增加时，保险人在审核同意后，于收到申请之日的次日零时开始承担保险责任，并按约定增收保险费。</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被保险人人数减少时，保险人在审核同意后，于收到申请之日的次日零时起，对减少的被保险人终止保险责任（如减少的被保险人属于已离职的，保险人对其所负的保险责任自其离职之日起终止），并按约定退还未满期净保费，但减少的被保险人本人或其保险金申请人已领取过任何保险金的，保险人不退还未满期净保费。减少后的被保险人人数不足其在职人员75%或人数低于5人时，保险人有权解除本保险合同，并按约定退还未满期净保费。</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第二十一条 保险事故通知义务</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投保人、被保险人或者保险金受益人知道保险事故发生后，应当及时通知保险人。</w:t>
      </w:r>
      <w:r>
        <w:rPr>
          <w:rFonts w:hint="eastAsia" w:ascii="宋体" w:hAnsi="宋体" w:eastAsia="宋体"/>
          <w:b/>
          <w:bCs/>
          <w:color w:val="000000"/>
          <w:sz w:val="18"/>
          <w:szCs w:val="21"/>
        </w:rPr>
        <w:t>故意或者因重大过失未及时通知，致使保险事故的性质、原因、损失程度等难以确定的，保险人对无法确定的部分，不承担给付保险金责任，</w:t>
      </w:r>
      <w:r>
        <w:rPr>
          <w:rFonts w:hint="eastAsia" w:ascii="宋体" w:hAnsi="宋体" w:eastAsia="宋体"/>
          <w:bCs/>
          <w:color w:val="000000"/>
          <w:sz w:val="18"/>
          <w:szCs w:val="21"/>
        </w:rPr>
        <w:t>但保险人通过其他途径已经及时知道或者应当及时知道保险事故发生的除外。</w:t>
      </w:r>
    </w:p>
    <w:p>
      <w:pPr>
        <w:adjustRightInd w:val="0"/>
        <w:snapToGrid w:val="0"/>
        <w:spacing w:after="156" w:afterLines="50"/>
        <w:ind w:firstLine="360" w:firstLineChars="200"/>
        <w:rPr>
          <w:rFonts w:hint="eastAsia" w:ascii="宋体" w:hAnsi="宋体" w:eastAsia="宋体"/>
          <w:b/>
          <w:bCs/>
          <w:color w:val="000000"/>
          <w:sz w:val="18"/>
          <w:szCs w:val="21"/>
        </w:rPr>
      </w:pPr>
      <w:r>
        <w:rPr>
          <w:rFonts w:hint="eastAsia" w:ascii="宋体" w:hAnsi="宋体" w:eastAsia="宋体"/>
          <w:bCs/>
          <w:color w:val="000000"/>
          <w:sz w:val="18"/>
          <w:szCs w:val="21"/>
        </w:rPr>
        <w:t>上述约定，不包括因</w:t>
      </w:r>
      <w:r>
        <w:rPr>
          <w:rFonts w:hint="eastAsia" w:ascii="宋体" w:hAnsi="宋体" w:eastAsia="宋体"/>
          <w:b/>
          <w:color w:val="000000"/>
          <w:sz w:val="18"/>
          <w:szCs w:val="21"/>
        </w:rPr>
        <w:t>不可抗力</w:t>
      </w:r>
      <w:r>
        <w:rPr>
          <w:rFonts w:hint="eastAsia" w:ascii="宋体" w:hAnsi="宋体" w:eastAsia="宋体"/>
          <w:bCs/>
          <w:color w:val="000000"/>
          <w:sz w:val="18"/>
          <w:szCs w:val="21"/>
        </w:rPr>
        <w:t>而导致的迟延。</w:t>
      </w:r>
    </w:p>
    <w:p>
      <w:pPr>
        <w:spacing w:after="156" w:afterLines="50"/>
        <w:ind w:firstLine="361" w:firstLineChars="200"/>
        <w:jc w:val="center"/>
        <w:rPr>
          <w:rFonts w:hint="eastAsia" w:ascii="宋体" w:hAnsi="宋体" w:eastAsia="宋体"/>
          <w:b/>
          <w:bCs/>
          <w:color w:val="000000"/>
          <w:sz w:val="18"/>
          <w:szCs w:val="21"/>
        </w:rPr>
      </w:pPr>
      <w:r>
        <w:rPr>
          <w:rFonts w:hint="eastAsia" w:ascii="宋体" w:hAnsi="宋体" w:eastAsia="宋体"/>
          <w:b/>
          <w:bCs/>
          <w:color w:val="000000"/>
          <w:sz w:val="18"/>
          <w:szCs w:val="21"/>
        </w:rPr>
        <w:t>保险金申请与给付</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第二十二条 保险金申请</w:t>
      </w:r>
    </w:p>
    <w:p>
      <w:pPr>
        <w:adjustRightInd w:val="0"/>
        <w:snapToGrid w:val="0"/>
        <w:spacing w:after="156" w:afterLines="50"/>
        <w:ind w:firstLine="360" w:firstLineChars="200"/>
        <w:rPr>
          <w:rFonts w:hint="eastAsia" w:ascii="宋体" w:hAnsi="宋体" w:eastAsia="宋体"/>
          <w:b/>
          <w:bCs/>
          <w:color w:val="000000"/>
          <w:sz w:val="18"/>
          <w:szCs w:val="21"/>
        </w:rPr>
      </w:pPr>
      <w:r>
        <w:rPr>
          <w:rFonts w:hint="eastAsia" w:ascii="宋体" w:hAnsi="宋体" w:eastAsia="宋体"/>
          <w:bCs/>
          <w:color w:val="000000"/>
          <w:sz w:val="18"/>
          <w:szCs w:val="21"/>
        </w:rPr>
        <w:t>保险金申请人向保险人申请给付保险金时，应提交以下材料。保险金申请人因特殊原因不能提供以下材料的，应提供其它合法有效的材料。</w:t>
      </w:r>
      <w:r>
        <w:rPr>
          <w:rFonts w:hint="eastAsia" w:ascii="宋体" w:hAnsi="宋体" w:eastAsia="宋体"/>
          <w:b/>
          <w:bCs/>
          <w:color w:val="000000"/>
          <w:sz w:val="18"/>
          <w:szCs w:val="21"/>
        </w:rPr>
        <w:t>保险金申请人未能提供有关材料，导致保险人无法核实该申请的真实性的，保险人对无法核实部分不承担给付保险金的责任。如投保人在投保时选择保险费的计收方式为按工程合同造价计收或按照工程建筑面积计收，意外事故发生时，经保险人核定，若实际工程造价或建筑面积大于投保时的工程造价或建筑面积，保险人将按投保时的工程造价或建筑面积与实际工程造价或建筑面积的比例给付保险金。</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（一）身故保险金申请</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1. 保险金给付申请书；</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2. 保险单或其他保险凭证原件；</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3. 保险金申请人的身份证明及其与被保险人关系证明；</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4. 公安部门出具的被保险人户籍注销证明、二级以上（含二级）医疗机构或保险人认可的医疗机构出具的被保险人医学死亡证明书。若被保险人为宣告死亡，保险金申请人应提供人民法院出具的宣告死亡证明文件；</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 xml:space="preserve">5. </w:t>
      </w:r>
      <w:r>
        <w:rPr>
          <w:rFonts w:hint="eastAsia" w:ascii="宋体" w:hAnsi="宋体" w:eastAsia="宋体" w:cs="Arial"/>
          <w:color w:val="000000"/>
          <w:sz w:val="18"/>
          <w:szCs w:val="21"/>
        </w:rPr>
        <w:t>建筑安全管理部门出具的事故证明；</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6. 投保人</w:t>
      </w:r>
      <w:r>
        <w:rPr>
          <w:rFonts w:hint="eastAsia" w:ascii="宋体" w:hAnsi="宋体" w:eastAsia="宋体"/>
          <w:color w:val="000000"/>
          <w:sz w:val="18"/>
          <w:szCs w:val="21"/>
        </w:rPr>
        <w:t>出具的被保险人人事证明或聘用合同或其他能证实被保险人为其劳动的证明材料；</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7. 保险金申请人所能提供的与确认保险事故的性质、原因、损失程度等有关的证明和资料；</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8. 若保险金申请人委托他人申请的，还应提供授权委托书原件、委托人和受托人的身份证明等相关证明文件。</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（二）残疾保险金申请</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1. 保险金给付申请书；</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2. 保险单或其他保险凭证原件；</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3. 被保险人身份证明；</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 xml:space="preserve">4. </w:t>
      </w:r>
      <w:r>
        <w:rPr>
          <w:rFonts w:hint="eastAsia" w:ascii="宋体" w:hAnsi="宋体" w:eastAsia="宋体"/>
          <w:color w:val="000000"/>
          <w:sz w:val="18"/>
          <w:szCs w:val="21"/>
        </w:rPr>
        <w:t>司法鉴定机构、司法部门授予鉴定资格的医疗机构或者保险人认可的医疗机构</w:t>
      </w:r>
      <w:r>
        <w:rPr>
          <w:rFonts w:hint="eastAsia" w:ascii="宋体" w:hAnsi="宋体" w:eastAsia="宋体"/>
          <w:bCs/>
          <w:color w:val="000000"/>
          <w:sz w:val="18"/>
          <w:szCs w:val="21"/>
        </w:rPr>
        <w:t>出具的残疾鉴定书；</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 xml:space="preserve">5. </w:t>
      </w:r>
      <w:r>
        <w:rPr>
          <w:rFonts w:hint="eastAsia" w:ascii="宋体" w:hAnsi="宋体" w:eastAsia="宋体" w:cs="Arial"/>
          <w:color w:val="000000"/>
          <w:sz w:val="18"/>
          <w:szCs w:val="21"/>
        </w:rPr>
        <w:t>建筑安全管理部门出具的事故证明；</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6. 投保人</w:t>
      </w:r>
      <w:r>
        <w:rPr>
          <w:rFonts w:hint="eastAsia" w:ascii="宋体" w:hAnsi="宋体" w:eastAsia="宋体"/>
          <w:color w:val="000000"/>
          <w:sz w:val="18"/>
          <w:szCs w:val="21"/>
        </w:rPr>
        <w:t>出具的被保险人人事证明或聘用合同或其他能证实被保险人为其劳动的证明材料</w:t>
      </w:r>
      <w:r>
        <w:rPr>
          <w:rFonts w:hint="eastAsia" w:ascii="宋体" w:hAnsi="宋体" w:eastAsia="宋体"/>
          <w:bCs/>
          <w:color w:val="000000"/>
          <w:sz w:val="18"/>
          <w:szCs w:val="21"/>
        </w:rPr>
        <w:t>；</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7. 保险金申请人所能提供的与确认保险事故的性质、原因、损失程度等有关的证明和资料；</w:t>
      </w:r>
    </w:p>
    <w:p>
      <w:pPr>
        <w:adjustRightInd w:val="0"/>
        <w:snapToGrid w:val="0"/>
        <w:spacing w:after="156" w:afterLines="50"/>
        <w:ind w:firstLine="360" w:firstLineChars="200"/>
        <w:rPr>
          <w:rFonts w:hint="eastAsia" w:ascii="宋体" w:hAnsi="宋体" w:eastAsia="宋体"/>
          <w:b/>
          <w:bCs/>
          <w:color w:val="000000"/>
          <w:sz w:val="18"/>
          <w:szCs w:val="21"/>
        </w:rPr>
      </w:pPr>
      <w:r>
        <w:rPr>
          <w:rFonts w:hint="eastAsia" w:ascii="宋体" w:hAnsi="宋体" w:eastAsia="宋体"/>
          <w:bCs/>
          <w:color w:val="000000"/>
          <w:sz w:val="18"/>
          <w:szCs w:val="21"/>
        </w:rPr>
        <w:t>8. 若保险金申请人委托他人申请的，还应提供授权委托书原件、委托人和受托人的身份证明等相关证明文件。</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第二十三条 诉讼时效期间</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保险金申请人向保险人请求给付保险金的诉讼时效期间为二年，自其知道或者应当知道保险事故发生之日起计算。</w:t>
      </w:r>
    </w:p>
    <w:p>
      <w:pPr>
        <w:spacing w:after="156" w:afterLines="50"/>
        <w:ind w:firstLine="361" w:firstLineChars="200"/>
        <w:jc w:val="center"/>
        <w:rPr>
          <w:rFonts w:hint="eastAsia" w:ascii="宋体" w:hAnsi="宋体" w:eastAsia="宋体"/>
          <w:bCs/>
          <w:color w:val="000000"/>
          <w:sz w:val="18"/>
          <w:szCs w:val="21"/>
        </w:rPr>
      </w:pPr>
      <w:r>
        <w:rPr>
          <w:rFonts w:hint="eastAsia" w:ascii="宋体" w:hAnsi="宋体" w:eastAsia="宋体"/>
          <w:b/>
          <w:bCs/>
          <w:color w:val="000000"/>
          <w:sz w:val="18"/>
          <w:szCs w:val="21"/>
        </w:rPr>
        <w:t>其他事项</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第二十四条 合同内容变更</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在本合同有效期内，经投保人和保险人协商一致，可以变更本合同的有关内容。变更本合同的，应当由保险人在原保险单或者其他保险凭证上批注或者附贴批单，或者由投保人和保险人订立变更的书面协议。</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第二十五条 合同解除</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在本保险合同成立后，投保人可以书面形式通知保险人解除合同，但保险人已根据本保险合同约定给付保险金的除外。</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投保人解除本保险合同时，应提供下列证明文件和资料：</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1. 保险合同解除申请书；</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2. 保险单或其他保险凭证原件；</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3. 保险费发票；</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4. 投保人单位证明。</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投保人要求解除本保险合同，自保险人接到保险合同解除申请书之时起，本保险合同的效力终止。保险人收到上述证明文件和资料之日起30日内向投保人退还未满期净保费。</w:t>
      </w:r>
    </w:p>
    <w:p>
      <w:pPr>
        <w:spacing w:after="156" w:afterLines="50"/>
        <w:ind w:firstLine="361" w:firstLineChars="200"/>
        <w:rPr>
          <w:rFonts w:hint="eastAsia" w:ascii="宋体" w:hAnsi="宋体" w:eastAsia="宋体"/>
          <w:b/>
          <w:bCs/>
          <w:color w:val="000000"/>
          <w:sz w:val="18"/>
          <w:szCs w:val="21"/>
        </w:rPr>
      </w:pPr>
      <w:r>
        <w:rPr>
          <w:rFonts w:hint="eastAsia" w:ascii="宋体" w:hAnsi="宋体" w:eastAsia="宋体"/>
          <w:b/>
          <w:bCs/>
          <w:color w:val="000000"/>
          <w:sz w:val="18"/>
          <w:szCs w:val="21"/>
        </w:rPr>
        <w:t>第二十六条 争议处理</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因履行本保险合同发生的争议，由当事人协商解决。协商不成的，提交保险单载明的仲裁机构仲裁；保险单未载明仲裁机构或者争议发生后未达成仲裁协议的，依法向人民法院起诉。</w:t>
      </w:r>
    </w:p>
    <w:p>
      <w:pPr>
        <w:spacing w:after="156" w:afterLines="50"/>
        <w:ind w:firstLine="361" w:firstLineChars="200"/>
        <w:rPr>
          <w:rFonts w:hint="eastAsia" w:ascii="宋体" w:hAnsi="宋体" w:eastAsia="宋体"/>
          <w:bCs/>
          <w:color w:val="000000"/>
          <w:sz w:val="18"/>
          <w:szCs w:val="21"/>
        </w:rPr>
      </w:pPr>
      <w:r>
        <w:rPr>
          <w:rFonts w:hint="eastAsia" w:ascii="宋体" w:hAnsi="宋体" w:eastAsia="宋体"/>
          <w:b/>
          <w:bCs/>
          <w:color w:val="000000"/>
          <w:sz w:val="18"/>
          <w:szCs w:val="21"/>
        </w:rPr>
        <w:t>第二十七条 法律适用</w:t>
      </w:r>
    </w:p>
    <w:p>
      <w:pPr>
        <w:adjustRightInd w:val="0"/>
        <w:snapToGrid w:val="0"/>
        <w:spacing w:after="156" w:afterLines="50"/>
        <w:ind w:firstLine="360" w:firstLineChars="200"/>
        <w:rPr>
          <w:rFonts w:hint="eastAsia" w:ascii="宋体" w:hAnsi="宋体" w:eastAsia="宋体"/>
          <w:b/>
          <w:bCs/>
          <w:color w:val="000000"/>
          <w:sz w:val="18"/>
          <w:szCs w:val="21"/>
        </w:rPr>
      </w:pPr>
      <w:r>
        <w:rPr>
          <w:rFonts w:hint="eastAsia" w:ascii="宋体" w:hAnsi="宋体" w:eastAsia="宋体"/>
          <w:bCs/>
          <w:color w:val="000000"/>
          <w:sz w:val="18"/>
          <w:szCs w:val="21"/>
        </w:rPr>
        <w:t>与本保险合同有关的以及履行本保险合同产生的一切争议处理适用中华人民共和国法律（不包括香港、澳门及台湾法律）。</w:t>
      </w:r>
    </w:p>
    <w:p>
      <w:pPr>
        <w:adjustRightInd w:val="0"/>
        <w:snapToGrid w:val="0"/>
        <w:spacing w:after="156" w:afterLines="50"/>
        <w:ind w:left="395" w:leftChars="188" w:firstLine="361" w:firstLineChars="200"/>
        <w:rPr>
          <w:rFonts w:hint="eastAsia" w:ascii="宋体" w:hAnsi="宋体" w:eastAsia="宋体"/>
          <w:b/>
          <w:bCs/>
          <w:color w:val="000000"/>
          <w:sz w:val="18"/>
          <w:szCs w:val="21"/>
        </w:rPr>
      </w:pPr>
    </w:p>
    <w:p>
      <w:pPr>
        <w:adjustRightInd w:val="0"/>
        <w:snapToGrid w:val="0"/>
        <w:spacing w:after="156" w:afterLines="50"/>
        <w:ind w:left="395" w:leftChars="188" w:firstLine="361" w:firstLineChars="200"/>
        <w:rPr>
          <w:rFonts w:hint="eastAsia" w:ascii="宋体" w:hAnsi="宋体" w:eastAsia="宋体"/>
          <w:b/>
          <w:bCs/>
          <w:color w:val="000000"/>
          <w:sz w:val="18"/>
          <w:szCs w:val="21"/>
        </w:rPr>
      </w:pPr>
    </w:p>
    <w:p>
      <w:pPr>
        <w:spacing w:after="156" w:afterLines="50"/>
        <w:ind w:firstLine="361" w:firstLineChars="200"/>
        <w:jc w:val="center"/>
        <w:rPr>
          <w:rFonts w:hint="eastAsia" w:ascii="宋体" w:hAnsi="宋体" w:eastAsia="宋体"/>
          <w:b/>
          <w:bCs/>
          <w:color w:val="000000"/>
          <w:sz w:val="18"/>
          <w:szCs w:val="21"/>
        </w:rPr>
      </w:pPr>
      <w:r>
        <w:rPr>
          <w:rFonts w:hint="eastAsia" w:ascii="宋体" w:hAnsi="宋体" w:eastAsia="宋体"/>
          <w:b/>
          <w:bCs/>
          <w:color w:val="000000"/>
          <w:sz w:val="18"/>
          <w:szCs w:val="21"/>
        </w:rPr>
        <w:t>释义</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color w:val="000000"/>
          <w:sz w:val="18"/>
          <w:lang w:val="zh-CN"/>
        </w:rPr>
        <w:t>【</w:t>
      </w:r>
      <w:r>
        <w:rPr>
          <w:rFonts w:hint="eastAsia" w:ascii="宋体" w:hAnsi="宋体" w:eastAsia="宋体"/>
          <w:bCs/>
          <w:color w:val="000000"/>
          <w:sz w:val="18"/>
          <w:szCs w:val="21"/>
        </w:rPr>
        <w:t>周岁</w:t>
      </w:r>
      <w:r>
        <w:rPr>
          <w:rFonts w:hint="eastAsia" w:ascii="宋体" w:hAnsi="宋体" w:eastAsia="宋体"/>
          <w:color w:val="000000"/>
          <w:sz w:val="18"/>
          <w:lang w:val="zh-CN"/>
        </w:rPr>
        <w:t>】</w:t>
      </w:r>
      <w:r>
        <w:rPr>
          <w:rFonts w:hint="eastAsia" w:ascii="宋体" w:hAnsi="宋体" w:eastAsia="宋体"/>
          <w:bCs/>
          <w:color w:val="000000"/>
          <w:sz w:val="18"/>
          <w:szCs w:val="21"/>
        </w:rPr>
        <w:t>以法定身份证明文件中记载的出生日期为基础计算的实足年龄。</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color w:val="000000"/>
          <w:sz w:val="18"/>
          <w:lang w:val="zh-CN"/>
        </w:rPr>
        <w:t>【</w:t>
      </w:r>
      <w:r>
        <w:rPr>
          <w:rFonts w:hint="eastAsia" w:ascii="宋体" w:hAnsi="宋体" w:eastAsia="宋体"/>
          <w:bCs/>
          <w:color w:val="000000"/>
          <w:sz w:val="18"/>
          <w:szCs w:val="21"/>
        </w:rPr>
        <w:t>保险人</w:t>
      </w:r>
      <w:r>
        <w:rPr>
          <w:rFonts w:hint="eastAsia" w:ascii="宋体" w:hAnsi="宋体" w:eastAsia="宋体"/>
          <w:color w:val="000000"/>
          <w:sz w:val="18"/>
          <w:lang w:val="zh-CN"/>
        </w:rPr>
        <w:t>】</w:t>
      </w:r>
      <w:r>
        <w:rPr>
          <w:rFonts w:hint="eastAsia" w:ascii="宋体" w:hAnsi="宋体" w:eastAsia="宋体"/>
          <w:bCs/>
          <w:color w:val="000000"/>
          <w:sz w:val="18"/>
          <w:szCs w:val="21"/>
        </w:rPr>
        <w:t>指华安财产保险股份有限公司。</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color w:val="000000"/>
          <w:sz w:val="18"/>
          <w:lang w:val="zh-CN"/>
        </w:rPr>
        <w:t>【</w:t>
      </w:r>
      <w:r>
        <w:rPr>
          <w:rFonts w:hint="eastAsia" w:ascii="宋体" w:hAnsi="宋体" w:eastAsia="宋体"/>
          <w:bCs/>
          <w:color w:val="000000"/>
          <w:sz w:val="18"/>
          <w:szCs w:val="21"/>
        </w:rPr>
        <w:t>意外伤害</w:t>
      </w:r>
      <w:r>
        <w:rPr>
          <w:rFonts w:hint="eastAsia" w:ascii="宋体" w:hAnsi="宋体" w:eastAsia="宋体"/>
          <w:color w:val="000000"/>
          <w:sz w:val="18"/>
          <w:lang w:val="zh-CN"/>
        </w:rPr>
        <w:t>】</w:t>
      </w:r>
      <w:r>
        <w:rPr>
          <w:rFonts w:hint="eastAsia" w:ascii="宋体" w:hAnsi="宋体" w:eastAsia="宋体"/>
          <w:bCs/>
          <w:color w:val="000000"/>
          <w:sz w:val="18"/>
          <w:szCs w:val="21"/>
        </w:rPr>
        <w:t>指以外来的、突发的、非本意的和非疾病的客观事件为直接且单独的原因致使身体受到的伤害。</w:t>
      </w:r>
    </w:p>
    <w:p>
      <w:pPr>
        <w:spacing w:after="156" w:afterLines="50"/>
        <w:ind w:firstLine="360" w:firstLineChars="200"/>
        <w:rPr>
          <w:rFonts w:hint="eastAsia" w:ascii="宋体" w:hAnsi="宋体" w:eastAsia="宋体"/>
          <w:color w:val="000000"/>
          <w:sz w:val="18"/>
          <w:highlight w:val="yellow"/>
        </w:rPr>
      </w:pPr>
      <w:r>
        <w:rPr>
          <w:rFonts w:hint="eastAsia" w:ascii="宋体" w:hAnsi="宋体" w:eastAsia="宋体"/>
          <w:color w:val="000000"/>
          <w:sz w:val="18"/>
          <w:lang w:val="zh-CN"/>
        </w:rPr>
        <w:t>【</w:t>
      </w:r>
      <w:r>
        <w:rPr>
          <w:rFonts w:hint="eastAsia" w:ascii="宋体" w:hAnsi="宋体" w:eastAsia="宋体"/>
          <w:color w:val="000000"/>
          <w:sz w:val="18"/>
        </w:rPr>
        <w:t>评定时机</w:t>
      </w:r>
      <w:r>
        <w:rPr>
          <w:rFonts w:hint="eastAsia" w:ascii="宋体" w:hAnsi="宋体" w:eastAsia="宋体"/>
          <w:color w:val="000000"/>
          <w:sz w:val="18"/>
          <w:lang w:val="zh-CN"/>
        </w:rPr>
        <w:t>】</w:t>
      </w:r>
      <w:r>
        <w:rPr>
          <w:rFonts w:hint="eastAsia" w:ascii="宋体" w:hAnsi="宋体" w:eastAsia="宋体"/>
          <w:color w:val="000000"/>
          <w:sz w:val="18"/>
        </w:rPr>
        <w:t>评定时机以外伤/事故直接所致的损伤或确因损伤所致的并发症经过诊断、治疗达到临床医学一般原则所承认的症状及体征稳定为准。一般损伤为伤后3-6个月；颅脑及神经系统损伤为伤后6个月以上；颅脑损伤存在智力缺损者为伤后一年；伤后伤口不愈合或延期愈合可根据临床治疗情况可适当延长评定时机，最长可延长为伤后一年。</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color w:val="000000"/>
          <w:sz w:val="18"/>
          <w:lang w:val="zh-CN"/>
        </w:rPr>
        <w:t>【</w:t>
      </w:r>
      <w:r>
        <w:rPr>
          <w:rFonts w:hint="eastAsia" w:ascii="宋体" w:hAnsi="宋体" w:eastAsia="宋体"/>
          <w:bCs/>
          <w:color w:val="000000"/>
          <w:sz w:val="18"/>
          <w:szCs w:val="21"/>
        </w:rPr>
        <w:t>醉酒</w:t>
      </w:r>
      <w:r>
        <w:rPr>
          <w:rFonts w:hint="eastAsia" w:ascii="宋体" w:hAnsi="宋体" w:eastAsia="宋体"/>
          <w:color w:val="000000"/>
          <w:sz w:val="18"/>
          <w:lang w:val="zh-CN"/>
        </w:rPr>
        <w:t>】</w:t>
      </w:r>
      <w:r>
        <w:rPr>
          <w:rFonts w:hint="eastAsia" w:ascii="宋体" w:hAnsi="宋体" w:eastAsia="宋体"/>
          <w:bCs/>
          <w:color w:val="000000"/>
          <w:sz w:val="18"/>
          <w:szCs w:val="21"/>
        </w:rPr>
        <w:t>指事故发生时被保险人血液中的酒精含量大于或者等于80mg/100ml。</w:t>
      </w:r>
    </w:p>
    <w:p>
      <w:pPr>
        <w:spacing w:after="156" w:afterLines="50"/>
        <w:ind w:firstLine="360" w:firstLineChars="200"/>
        <w:rPr>
          <w:rFonts w:hint="eastAsia" w:ascii="宋体" w:hAnsi="宋体" w:eastAsia="宋体"/>
          <w:color w:val="000000"/>
          <w:sz w:val="18"/>
          <w:highlight w:val="yellow"/>
        </w:rPr>
      </w:pPr>
      <w:r>
        <w:rPr>
          <w:rFonts w:hint="eastAsia" w:ascii="宋体" w:hAnsi="宋体" w:eastAsia="宋体"/>
          <w:color w:val="000000"/>
          <w:sz w:val="18"/>
          <w:lang w:val="zh-CN"/>
        </w:rPr>
        <w:t>【</w:t>
      </w:r>
      <w:r>
        <w:rPr>
          <w:rFonts w:hint="eastAsia" w:ascii="宋体" w:hAnsi="宋体" w:eastAsia="宋体"/>
          <w:bCs/>
          <w:color w:val="000000"/>
          <w:sz w:val="18"/>
          <w:szCs w:val="21"/>
        </w:rPr>
        <w:t>管制药物</w:t>
      </w:r>
      <w:r>
        <w:rPr>
          <w:rFonts w:hint="eastAsia" w:ascii="宋体" w:hAnsi="宋体" w:eastAsia="宋体"/>
          <w:color w:val="000000"/>
          <w:sz w:val="18"/>
          <w:lang w:val="zh-CN"/>
        </w:rPr>
        <w:t>】</w:t>
      </w:r>
      <w:r>
        <w:rPr>
          <w:rFonts w:hint="eastAsia" w:ascii="宋体" w:hAnsi="宋体" w:eastAsia="宋体"/>
          <w:bCs/>
          <w:color w:val="000000"/>
          <w:sz w:val="18"/>
          <w:szCs w:val="21"/>
        </w:rPr>
        <w:t>指根据《中华人民共和国药品管理法》及有关法规被列为特殊管理的药品，包括麻醉药品、精神药品、毒性药品及放射性药品。</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color w:val="000000"/>
          <w:sz w:val="18"/>
          <w:lang w:val="zh-CN"/>
        </w:rPr>
        <w:t>【</w:t>
      </w:r>
      <w:r>
        <w:rPr>
          <w:rFonts w:hint="eastAsia" w:ascii="宋体" w:hAnsi="宋体" w:eastAsia="宋体"/>
          <w:bCs/>
          <w:color w:val="000000"/>
          <w:sz w:val="18"/>
          <w:szCs w:val="21"/>
        </w:rPr>
        <w:t>无有效驾驶证</w:t>
      </w:r>
      <w:r>
        <w:rPr>
          <w:rFonts w:hint="eastAsia" w:ascii="宋体" w:hAnsi="宋体" w:eastAsia="宋体"/>
          <w:color w:val="000000"/>
          <w:sz w:val="18"/>
          <w:lang w:val="zh-CN"/>
        </w:rPr>
        <w:t>】</w:t>
      </w:r>
      <w:r>
        <w:rPr>
          <w:rFonts w:hint="eastAsia" w:ascii="宋体" w:hAnsi="宋体" w:eastAsia="宋体"/>
          <w:bCs/>
          <w:color w:val="000000"/>
          <w:sz w:val="18"/>
          <w:szCs w:val="21"/>
        </w:rPr>
        <w:t>指被保险人存在下列情形之一者：</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（1）无驾驶证或驾驶证有效期已届满；</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（2）驾驶的机动车与驾驶证载明的准驾车型不符；</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（3）实习期内驾驶公共汽车、营运客车或者载有爆炸物品、易燃易爆化学物品、剧毒或者放射性等危险物品的机动车，实习期内驾驶的机动车牵引挂车；</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（4）持未按规定审验的驾驶证，以及在暂扣、扣留、吊销、注销驾驶证期间驾驶机动车；</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（5）使用各种专用机械车、特种车的人员无国家有关部门核发的有效操作证，驾驶营业性客车的驾驶人无国家有关部门核发的有效资格证书；</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（6）依照法律法规或公安机关交通管理部门有关规定不允许驾驶机动车的其他情况下驾车。</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color w:val="000000"/>
          <w:sz w:val="18"/>
          <w:lang w:val="zh-CN"/>
        </w:rPr>
        <w:t>【</w:t>
      </w:r>
      <w:r>
        <w:rPr>
          <w:rFonts w:hint="eastAsia" w:ascii="宋体" w:hAnsi="宋体" w:eastAsia="宋体"/>
          <w:bCs/>
          <w:color w:val="000000"/>
          <w:sz w:val="18"/>
          <w:szCs w:val="21"/>
        </w:rPr>
        <w:t>无有效行驶证</w:t>
      </w:r>
      <w:r>
        <w:rPr>
          <w:rFonts w:hint="eastAsia" w:ascii="宋体" w:hAnsi="宋体" w:eastAsia="宋体"/>
          <w:color w:val="000000"/>
          <w:sz w:val="18"/>
          <w:lang w:val="zh-CN"/>
        </w:rPr>
        <w:t>】</w:t>
      </w:r>
      <w:r>
        <w:rPr>
          <w:rFonts w:hint="eastAsia" w:ascii="宋体" w:hAnsi="宋体" w:eastAsia="宋体"/>
          <w:bCs/>
          <w:color w:val="000000"/>
          <w:sz w:val="18"/>
          <w:szCs w:val="21"/>
        </w:rPr>
        <w:t>指下列情形之一：</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（1）机动车被依法注销登记的；</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（2）无公安机关交通管理部门核发的行驶证、号牌，或临时号牌或临时移动证的机动交通工具；</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bCs/>
          <w:color w:val="000000"/>
          <w:sz w:val="18"/>
          <w:szCs w:val="21"/>
        </w:rPr>
        <w:t>（3）未在规定检验期限内进行机动车安全技术检验或检验未通过的机动交通工具。未依法按时进行或通过机动车安全技术检验。</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color w:val="000000"/>
          <w:sz w:val="18"/>
          <w:lang w:val="zh-CN"/>
        </w:rPr>
        <w:t>【</w:t>
      </w:r>
      <w:r>
        <w:rPr>
          <w:rFonts w:hint="eastAsia" w:ascii="宋体" w:hAnsi="宋体" w:eastAsia="宋体"/>
          <w:bCs/>
          <w:color w:val="000000"/>
          <w:sz w:val="18"/>
          <w:szCs w:val="21"/>
        </w:rPr>
        <w:t>艾 滋 病</w:t>
      </w:r>
      <w:r>
        <w:rPr>
          <w:rFonts w:hint="eastAsia" w:ascii="宋体" w:hAnsi="宋体" w:eastAsia="宋体"/>
          <w:color w:val="000000"/>
          <w:sz w:val="18"/>
          <w:lang w:val="zh-CN"/>
        </w:rPr>
        <w:t>】</w:t>
      </w:r>
      <w:r>
        <w:rPr>
          <w:rFonts w:hint="eastAsia" w:ascii="宋体" w:hAnsi="宋体" w:eastAsia="宋体"/>
          <w:bCs/>
          <w:color w:val="000000"/>
          <w:sz w:val="18"/>
          <w:szCs w:val="21"/>
        </w:rPr>
        <w:t>是指获得性免疫缺陷综合症的简称。</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color w:val="000000"/>
          <w:sz w:val="18"/>
          <w:lang w:val="zh-CN"/>
        </w:rPr>
        <w:t>【</w:t>
      </w:r>
      <w:r>
        <w:rPr>
          <w:rFonts w:hint="eastAsia" w:ascii="宋体" w:hAnsi="宋体" w:eastAsia="宋体"/>
          <w:bCs/>
          <w:color w:val="000000"/>
          <w:sz w:val="18"/>
          <w:szCs w:val="21"/>
        </w:rPr>
        <w:t>艾滋病病毒</w:t>
      </w:r>
      <w:r>
        <w:rPr>
          <w:rFonts w:hint="eastAsia" w:ascii="宋体" w:hAnsi="宋体" w:eastAsia="宋体"/>
          <w:color w:val="000000"/>
          <w:sz w:val="18"/>
          <w:lang w:val="zh-CN"/>
        </w:rPr>
        <w:t>】</w:t>
      </w:r>
      <w:r>
        <w:rPr>
          <w:rFonts w:hint="eastAsia" w:ascii="宋体" w:hAnsi="宋体" w:eastAsia="宋体"/>
          <w:bCs/>
          <w:color w:val="000000"/>
          <w:sz w:val="18"/>
          <w:szCs w:val="21"/>
        </w:rPr>
        <w:t>是指人类免疫缺陷病毒（HIV）的简称，获得性免疫缺陷综合症的定义应按世界卫生组织制定的定义为准，如在血清学检验中HIV抗体呈阳性，则可认定为患艾滋病或感染艾滋病病毒。</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color w:val="000000"/>
          <w:sz w:val="18"/>
          <w:lang w:val="zh-CN"/>
        </w:rPr>
        <w:t>【</w:t>
      </w:r>
      <w:r>
        <w:rPr>
          <w:rFonts w:hint="eastAsia" w:ascii="宋体" w:hAnsi="宋体" w:eastAsia="宋体"/>
          <w:bCs/>
          <w:color w:val="000000"/>
          <w:sz w:val="18"/>
          <w:szCs w:val="21"/>
        </w:rPr>
        <w:t>未满期净保费</w:t>
      </w:r>
      <w:r>
        <w:rPr>
          <w:rFonts w:hint="eastAsia" w:ascii="宋体" w:hAnsi="宋体" w:eastAsia="宋体"/>
          <w:color w:val="000000"/>
          <w:sz w:val="18"/>
          <w:lang w:val="zh-CN"/>
        </w:rPr>
        <w:t>】</w:t>
      </w:r>
      <w:r>
        <w:rPr>
          <w:rFonts w:hint="eastAsia" w:ascii="宋体" w:hAnsi="宋体" w:eastAsia="宋体"/>
          <w:bCs/>
          <w:color w:val="000000"/>
          <w:sz w:val="18"/>
          <w:szCs w:val="21"/>
        </w:rPr>
        <w:t>未满期净保费=保险费×[1-(保险单已经过天数/保险期间天数)] ×（1-20%）。经过天数不足一天的按一天计算。</w:t>
      </w:r>
    </w:p>
    <w:p>
      <w:pPr>
        <w:spacing w:after="156" w:afterLines="50"/>
        <w:ind w:firstLine="360" w:firstLineChars="200"/>
        <w:rPr>
          <w:rFonts w:hint="eastAsia" w:ascii="宋体" w:hAnsi="宋体" w:eastAsia="宋体"/>
          <w:bCs/>
          <w:color w:val="000000"/>
          <w:sz w:val="18"/>
          <w:szCs w:val="21"/>
        </w:rPr>
      </w:pPr>
      <w:r>
        <w:rPr>
          <w:rFonts w:hint="eastAsia" w:ascii="宋体" w:hAnsi="宋体" w:eastAsia="宋体"/>
          <w:color w:val="000000"/>
          <w:sz w:val="18"/>
          <w:lang w:val="zh-CN"/>
        </w:rPr>
        <w:t>【</w:t>
      </w:r>
      <w:r>
        <w:rPr>
          <w:rFonts w:hint="eastAsia" w:ascii="宋体" w:hAnsi="宋体" w:eastAsia="宋体"/>
          <w:bCs/>
          <w:color w:val="000000"/>
          <w:sz w:val="18"/>
          <w:szCs w:val="21"/>
        </w:rPr>
        <w:t>保险金申请人</w:t>
      </w:r>
      <w:r>
        <w:rPr>
          <w:rFonts w:hint="eastAsia" w:ascii="宋体" w:hAnsi="宋体" w:eastAsia="宋体"/>
          <w:color w:val="000000"/>
          <w:sz w:val="18"/>
          <w:lang w:val="zh-CN"/>
        </w:rPr>
        <w:t>】</w:t>
      </w:r>
      <w:r>
        <w:rPr>
          <w:rFonts w:hint="eastAsia" w:ascii="宋体" w:hAnsi="宋体" w:eastAsia="宋体"/>
          <w:bCs/>
          <w:color w:val="000000"/>
          <w:sz w:val="18"/>
          <w:szCs w:val="21"/>
        </w:rPr>
        <w:t>指被保险人、受益人、被保险人的继承人或依法享有保险金请求权的其他自然人。</w:t>
      </w:r>
    </w:p>
    <w:p>
      <w:pPr>
        <w:adjustRightInd w:val="0"/>
        <w:snapToGrid w:val="0"/>
        <w:spacing w:after="156" w:afterLines="50"/>
        <w:ind w:firstLine="360" w:firstLineChars="200"/>
        <w:rPr>
          <w:rFonts w:hint="eastAsia" w:hAnsi="宋体"/>
          <w:b/>
          <w:color w:val="000000"/>
          <w:sz w:val="21"/>
          <w:szCs w:val="21"/>
        </w:rPr>
      </w:pPr>
      <w:r>
        <w:rPr>
          <w:rFonts w:hint="eastAsia" w:ascii="宋体" w:hAnsi="宋体" w:eastAsia="宋体"/>
          <w:color w:val="000000"/>
          <w:sz w:val="18"/>
          <w:lang w:val="zh-CN"/>
        </w:rPr>
        <w:t>【</w:t>
      </w:r>
      <w:r>
        <w:rPr>
          <w:rFonts w:hint="eastAsia" w:ascii="宋体" w:hAnsi="宋体" w:eastAsia="宋体"/>
          <w:bCs/>
          <w:color w:val="000000"/>
          <w:sz w:val="18"/>
          <w:szCs w:val="21"/>
        </w:rPr>
        <w:t>不可抗力</w:t>
      </w:r>
      <w:r>
        <w:rPr>
          <w:rFonts w:hint="eastAsia" w:ascii="宋体" w:hAnsi="宋体" w:eastAsia="宋体"/>
          <w:color w:val="000000"/>
          <w:sz w:val="18"/>
          <w:lang w:val="zh-CN"/>
        </w:rPr>
        <w:t>】</w:t>
      </w:r>
      <w:r>
        <w:rPr>
          <w:rFonts w:hint="eastAsia" w:ascii="宋体" w:hAnsi="宋体" w:eastAsia="宋体"/>
          <w:bCs/>
          <w:color w:val="000000"/>
          <w:sz w:val="18"/>
          <w:szCs w:val="21"/>
        </w:rPr>
        <w:t>指不能预见、不能避免并不能克服的客观情况。</w:t>
      </w:r>
    </w:p>
    <w:p>
      <w:pPr>
        <w:pStyle w:val="13"/>
        <w:autoSpaceDE w:val="0"/>
        <w:autoSpaceDN w:val="0"/>
        <w:spacing w:after="156" w:afterLines="50"/>
        <w:ind w:left="0" w:leftChars="0" w:firstLine="0" w:firstLineChars="0"/>
        <w:textAlignment w:val="bottom"/>
        <w:rPr>
          <w:rFonts w:hint="eastAsia" w:hAnsi="宋体"/>
          <w:b/>
          <w:color w:val="000000"/>
          <w:sz w:val="21"/>
          <w:szCs w:val="21"/>
        </w:rPr>
      </w:pPr>
    </w:p>
    <w:p>
      <w:pPr>
        <w:pStyle w:val="6"/>
        <w:adjustRightInd w:val="0"/>
        <w:snapToGrid w:val="0"/>
        <w:spacing w:after="50" w:afterLines="0"/>
        <w:ind w:left="0" w:leftChars="0" w:right="0" w:rightChars="0" w:firstLine="0" w:firstLineChars="0"/>
        <w:jc w:val="center"/>
        <w:rPr>
          <w:rFonts w:hint="eastAsia" w:ascii="宋体" w:hAnsi="宋体" w:eastAsia="宋体"/>
          <w:b/>
          <w:color w:val="000000"/>
          <w:sz w:val="18"/>
          <w:szCs w:val="21"/>
        </w:rPr>
      </w:pPr>
      <w:bookmarkStart w:id="1" w:name="_Toc356463462"/>
      <w:r>
        <w:rPr>
          <w:rFonts w:hint="eastAsia" w:ascii="宋体" w:hAnsi="宋体" w:eastAsia="宋体"/>
          <w:b/>
          <w:color w:val="000000"/>
          <w:sz w:val="18"/>
          <w:szCs w:val="21"/>
        </w:rPr>
        <w:t>人身保险伤残评定标准</w:t>
      </w:r>
    </w:p>
    <w:p>
      <w:pPr>
        <w:pStyle w:val="2"/>
        <w:spacing w:line="240" w:lineRule="auto"/>
        <w:jc w:val="center"/>
        <w:rPr>
          <w:rFonts w:hint="eastAsia" w:ascii="宋体" w:hAnsi="宋体" w:eastAsia="宋体"/>
          <w:sz w:val="18"/>
          <w:szCs w:val="28"/>
        </w:rPr>
      </w:pPr>
      <w:r>
        <w:rPr>
          <w:rFonts w:hint="eastAsia" w:ascii="宋体" w:hAnsi="宋体" w:eastAsia="宋体"/>
          <w:sz w:val="18"/>
          <w:szCs w:val="28"/>
        </w:rPr>
        <w:t>前言</w:t>
      </w:r>
    </w:p>
    <w:p>
      <w:pPr>
        <w:ind w:firstLine="360" w:firstLineChars="200"/>
        <w:contextualSpacing/>
        <w:rPr>
          <w:rFonts w:hint="eastAsia" w:ascii="宋体" w:hAnsi="宋体" w:eastAsia="宋体"/>
          <w:sz w:val="18"/>
          <w:szCs w:val="21"/>
        </w:rPr>
      </w:pPr>
      <w:r>
        <w:rPr>
          <w:rFonts w:hint="eastAsia" w:ascii="宋体" w:hAnsi="宋体" w:eastAsia="宋体"/>
          <w:sz w:val="18"/>
          <w:szCs w:val="21"/>
        </w:rPr>
        <w:t>根据保险行业业务发展要求，制订本标准。</w:t>
      </w:r>
    </w:p>
    <w:p>
      <w:pPr>
        <w:ind w:firstLine="360" w:firstLineChars="200"/>
        <w:contextualSpacing/>
        <w:rPr>
          <w:rFonts w:hint="eastAsia" w:ascii="宋体" w:hAnsi="宋体" w:eastAsia="宋体"/>
          <w:sz w:val="18"/>
          <w:szCs w:val="21"/>
        </w:rPr>
      </w:pPr>
      <w:r>
        <w:rPr>
          <w:rFonts w:hint="eastAsia" w:ascii="宋体" w:hAnsi="宋体" w:eastAsia="宋体"/>
          <w:sz w:val="18"/>
          <w:szCs w:val="21"/>
        </w:rPr>
        <w:t>本标准制定过程中参照世界卫生组织《国际功能、残疾和健康分类》（以下简称“ICF”）的理论与方法，建立新的残疾标准的理论架构、术语体系和分类方法。</w:t>
      </w:r>
    </w:p>
    <w:p>
      <w:pPr>
        <w:ind w:firstLine="360" w:firstLineChars="200"/>
        <w:contextualSpacing/>
        <w:rPr>
          <w:rFonts w:hint="eastAsia" w:ascii="宋体" w:hAnsi="宋体" w:eastAsia="宋体"/>
          <w:sz w:val="18"/>
          <w:szCs w:val="21"/>
        </w:rPr>
      </w:pPr>
      <w:r>
        <w:rPr>
          <w:rFonts w:hint="eastAsia" w:ascii="宋体" w:hAnsi="宋体" w:eastAsia="宋体"/>
          <w:sz w:val="18"/>
          <w:szCs w:val="21"/>
        </w:rPr>
        <w:t>本标准制定过程中参考了国内重要的伤残评定标准，如《劳动能力鉴定，职工工伤与职业病致残等级》、《道路交通事故受伤人员伤残评定》等，符合国内相关的残疾政策，同时参考了国际上其他国家地区的伤残分级原则和标准。</w:t>
      </w:r>
    </w:p>
    <w:p>
      <w:pPr>
        <w:ind w:firstLine="360" w:firstLineChars="200"/>
        <w:contextualSpacing/>
        <w:rPr>
          <w:rFonts w:hint="eastAsia" w:ascii="宋体" w:hAnsi="宋体" w:eastAsia="宋体"/>
          <w:sz w:val="18"/>
          <w:szCs w:val="21"/>
        </w:rPr>
      </w:pPr>
      <w:r>
        <w:rPr>
          <w:rFonts w:hint="eastAsia" w:ascii="宋体" w:hAnsi="宋体" w:eastAsia="宋体"/>
          <w:sz w:val="18"/>
          <w:szCs w:val="21"/>
        </w:rPr>
        <w:t>本标准建立了保险行业人身保险伤残评定和保险金给付比例的基础，各保险公司应根据自身的业务特点，根据本标准的方法、内容和结构，开发保险产品，提供保险服务。</w:t>
      </w:r>
    </w:p>
    <w:p>
      <w:pPr>
        <w:ind w:firstLine="360" w:firstLineChars="200"/>
        <w:contextualSpacing/>
        <w:rPr>
          <w:rFonts w:hint="eastAsia" w:ascii="宋体" w:hAnsi="宋体" w:eastAsia="宋体"/>
          <w:sz w:val="18"/>
          <w:szCs w:val="21"/>
        </w:rPr>
      </w:pPr>
      <w:r>
        <w:rPr>
          <w:rFonts w:hint="eastAsia" w:ascii="宋体" w:hAnsi="宋体" w:eastAsia="宋体"/>
          <w:sz w:val="18"/>
          <w:szCs w:val="21"/>
        </w:rPr>
        <w:t>本标准负责起草单位：中国保险行业协会。</w:t>
      </w:r>
    </w:p>
    <w:p>
      <w:pPr>
        <w:ind w:firstLine="360" w:firstLineChars="200"/>
        <w:contextualSpacing/>
        <w:rPr>
          <w:rFonts w:hint="eastAsia" w:ascii="宋体" w:hAnsi="宋体" w:eastAsia="宋体"/>
          <w:sz w:val="18"/>
          <w:szCs w:val="21"/>
        </w:rPr>
      </w:pPr>
      <w:r>
        <w:rPr>
          <w:rFonts w:hint="eastAsia" w:ascii="宋体" w:hAnsi="宋体" w:eastAsia="宋体"/>
          <w:sz w:val="18"/>
          <w:szCs w:val="21"/>
        </w:rPr>
        <w:t>本标准规定了人身保险伤残程度的评定等级以及保险金给付比例的原则和方法，人身保险伤残程度分为一至十级，保险金给付比例分为100%至10%。</w:t>
      </w:r>
    </w:p>
    <w:p>
      <w:pPr>
        <w:spacing w:line="240" w:lineRule="exact"/>
        <w:ind w:firstLine="360" w:firstLineChars="200"/>
        <w:contextualSpacing/>
        <w:rPr>
          <w:rFonts w:hint="eastAsia" w:ascii="宋体" w:hAnsi="宋体" w:eastAsia="宋体"/>
          <w:sz w:val="18"/>
          <w:szCs w:val="18"/>
        </w:rPr>
      </w:pPr>
    </w:p>
    <w:p>
      <w:pPr>
        <w:contextualSpacing/>
        <w:rPr>
          <w:rFonts w:hint="eastAsia" w:ascii="宋体" w:hAnsi="宋体" w:eastAsia="宋体"/>
          <w:b/>
          <w:sz w:val="18"/>
          <w:szCs w:val="21"/>
        </w:rPr>
      </w:pPr>
      <w:r>
        <w:rPr>
          <w:rFonts w:hint="eastAsia" w:ascii="宋体" w:hAnsi="宋体" w:eastAsia="宋体"/>
          <w:b/>
          <w:sz w:val="18"/>
          <w:szCs w:val="21"/>
        </w:rPr>
        <w:t>1 适用范围</w:t>
      </w:r>
    </w:p>
    <w:p>
      <w:pPr>
        <w:ind w:firstLine="360" w:firstLineChars="200"/>
        <w:contextualSpacing/>
        <w:rPr>
          <w:rFonts w:hint="eastAsia" w:ascii="宋体" w:hAnsi="宋体" w:eastAsia="宋体"/>
          <w:sz w:val="18"/>
          <w:szCs w:val="21"/>
        </w:rPr>
      </w:pPr>
      <w:r>
        <w:rPr>
          <w:rFonts w:hint="eastAsia" w:ascii="宋体" w:hAnsi="宋体" w:eastAsia="宋体"/>
          <w:sz w:val="18"/>
          <w:szCs w:val="21"/>
        </w:rPr>
        <w:t>本标准适用于意外险产品或包括意外责任的保险产品中的伤残保障，用于评定由于意外伤害因素引起的伤残程度。</w:t>
      </w:r>
    </w:p>
    <w:p>
      <w:pPr>
        <w:spacing w:line="240" w:lineRule="exact"/>
        <w:ind w:firstLine="360" w:firstLineChars="200"/>
        <w:contextualSpacing/>
        <w:rPr>
          <w:rFonts w:hint="eastAsia" w:ascii="宋体" w:hAnsi="宋体" w:eastAsia="宋体"/>
          <w:sz w:val="18"/>
          <w:szCs w:val="18"/>
        </w:rPr>
      </w:pPr>
    </w:p>
    <w:p>
      <w:pPr>
        <w:contextualSpacing/>
        <w:rPr>
          <w:rFonts w:hint="eastAsia" w:ascii="宋体" w:hAnsi="宋体" w:eastAsia="宋体"/>
          <w:b/>
          <w:sz w:val="18"/>
          <w:szCs w:val="21"/>
        </w:rPr>
      </w:pPr>
      <w:r>
        <w:rPr>
          <w:rFonts w:hint="eastAsia" w:ascii="宋体" w:hAnsi="宋体" w:eastAsia="宋体"/>
          <w:b/>
          <w:sz w:val="18"/>
          <w:szCs w:val="21"/>
        </w:rPr>
        <w:t>2 术语和定义</w:t>
      </w:r>
    </w:p>
    <w:p>
      <w:pPr>
        <w:ind w:firstLine="360" w:firstLineChars="200"/>
        <w:contextualSpacing/>
        <w:rPr>
          <w:rFonts w:hint="eastAsia" w:ascii="宋体" w:hAnsi="宋体" w:eastAsia="宋体"/>
          <w:sz w:val="18"/>
          <w:szCs w:val="21"/>
        </w:rPr>
      </w:pPr>
      <w:r>
        <w:rPr>
          <w:rFonts w:hint="eastAsia" w:ascii="宋体" w:hAnsi="宋体" w:eastAsia="宋体"/>
          <w:sz w:val="18"/>
          <w:szCs w:val="21"/>
        </w:rPr>
        <w:t>下列术语和定义适用于本标准。</w:t>
      </w:r>
    </w:p>
    <w:p>
      <w:pPr>
        <w:contextualSpacing/>
        <w:rPr>
          <w:rFonts w:hint="eastAsia" w:ascii="宋体" w:hAnsi="宋体" w:eastAsia="宋体"/>
          <w:sz w:val="18"/>
          <w:szCs w:val="21"/>
        </w:rPr>
      </w:pPr>
      <w:r>
        <w:rPr>
          <w:rFonts w:hint="eastAsia" w:ascii="宋体" w:hAnsi="宋体" w:eastAsia="宋体"/>
          <w:sz w:val="18"/>
          <w:szCs w:val="21"/>
        </w:rPr>
        <w:t>2.1 伤残：因意外伤害损伤所致的人体残疾。</w:t>
      </w:r>
    </w:p>
    <w:p>
      <w:pPr>
        <w:contextualSpacing/>
        <w:rPr>
          <w:rFonts w:hint="eastAsia" w:ascii="宋体" w:hAnsi="宋体" w:eastAsia="宋体"/>
          <w:sz w:val="18"/>
          <w:szCs w:val="21"/>
        </w:rPr>
      </w:pPr>
      <w:r>
        <w:rPr>
          <w:rFonts w:hint="eastAsia" w:ascii="宋体" w:hAnsi="宋体" w:eastAsia="宋体"/>
          <w:sz w:val="18"/>
          <w:szCs w:val="21"/>
        </w:rPr>
        <w:t>2.2 身体结构：指身体的解剖部位，如器官、肢体及其组成部分。</w:t>
      </w:r>
    </w:p>
    <w:p>
      <w:pPr>
        <w:contextualSpacing/>
        <w:rPr>
          <w:rFonts w:hint="eastAsia" w:ascii="宋体" w:hAnsi="宋体" w:eastAsia="宋体"/>
          <w:sz w:val="18"/>
          <w:szCs w:val="21"/>
        </w:rPr>
      </w:pPr>
      <w:r>
        <w:rPr>
          <w:rFonts w:hint="eastAsia" w:ascii="宋体" w:hAnsi="宋体" w:eastAsia="宋体"/>
          <w:sz w:val="18"/>
          <w:szCs w:val="21"/>
        </w:rPr>
        <w:t>2.3 身体功能：指身体各系统的生理功能。</w:t>
      </w:r>
    </w:p>
    <w:p>
      <w:pPr>
        <w:spacing w:line="240" w:lineRule="exact"/>
        <w:ind w:firstLine="360" w:firstLineChars="200"/>
        <w:contextualSpacing/>
        <w:rPr>
          <w:rFonts w:hint="eastAsia" w:ascii="宋体" w:hAnsi="宋体" w:eastAsia="宋体"/>
          <w:sz w:val="18"/>
          <w:szCs w:val="18"/>
        </w:rPr>
      </w:pPr>
    </w:p>
    <w:p>
      <w:pPr>
        <w:contextualSpacing/>
        <w:rPr>
          <w:rFonts w:hint="eastAsia" w:ascii="宋体" w:hAnsi="宋体" w:eastAsia="宋体"/>
          <w:b/>
          <w:sz w:val="18"/>
          <w:szCs w:val="21"/>
        </w:rPr>
      </w:pPr>
      <w:r>
        <w:rPr>
          <w:rFonts w:hint="eastAsia" w:ascii="宋体" w:hAnsi="宋体" w:eastAsia="宋体"/>
          <w:b/>
          <w:sz w:val="18"/>
          <w:szCs w:val="21"/>
        </w:rPr>
        <w:t>3 标准的内容和结构</w:t>
      </w:r>
    </w:p>
    <w:p>
      <w:pPr>
        <w:ind w:firstLine="360" w:firstLineChars="200"/>
        <w:contextualSpacing/>
        <w:rPr>
          <w:rFonts w:hint="eastAsia" w:ascii="宋体" w:hAnsi="宋体" w:eastAsia="宋体"/>
          <w:sz w:val="18"/>
          <w:szCs w:val="21"/>
        </w:rPr>
      </w:pPr>
      <w:r>
        <w:rPr>
          <w:rFonts w:hint="eastAsia" w:ascii="宋体" w:hAnsi="宋体" w:eastAsia="宋体"/>
          <w:sz w:val="18"/>
          <w:szCs w:val="21"/>
        </w:rPr>
        <w:t>本标准参照ICF有关功能和残疾的分类理论与方法，建立“神经系统的结构和精神功能”、“眼，耳和有关的结构和功能”、“发声和言语的结构和功能”、“心血管，免疫和呼吸系统的结构和功能”、“消化、代谢和内分泌系统有关的结构和功能”、“泌尿和生殖系统有关的结构和功能”、“神经肌肉骨骼和运动有关的结构和功能”和“皮肤和有关的结构和功能” 8大类，共281项人身保险伤残条目。</w:t>
      </w:r>
    </w:p>
    <w:p>
      <w:pPr>
        <w:ind w:firstLine="360" w:firstLineChars="200"/>
        <w:contextualSpacing/>
        <w:rPr>
          <w:rFonts w:hint="eastAsia" w:ascii="宋体" w:hAnsi="宋体" w:eastAsia="宋体"/>
          <w:sz w:val="18"/>
          <w:szCs w:val="21"/>
        </w:rPr>
      </w:pPr>
      <w:r>
        <w:rPr>
          <w:rFonts w:hint="eastAsia" w:ascii="宋体" w:hAnsi="宋体" w:eastAsia="宋体"/>
          <w:sz w:val="18"/>
          <w:szCs w:val="21"/>
        </w:rPr>
        <w:t>本标准对功能和残疾进行了分类和分级，将人身保险伤残程度划分为一至十级，最重为第一级，最轻为第十级。</w:t>
      </w:r>
    </w:p>
    <w:p>
      <w:pPr>
        <w:ind w:firstLine="360" w:firstLineChars="200"/>
        <w:contextualSpacing/>
        <w:rPr>
          <w:rFonts w:hint="eastAsia" w:ascii="宋体" w:hAnsi="宋体" w:eastAsia="宋体"/>
          <w:sz w:val="18"/>
          <w:szCs w:val="21"/>
        </w:rPr>
      </w:pPr>
      <w:r>
        <w:rPr>
          <w:rFonts w:hint="eastAsia" w:ascii="宋体" w:hAnsi="宋体" w:eastAsia="宋体"/>
          <w:sz w:val="18"/>
          <w:szCs w:val="21"/>
        </w:rPr>
        <w:t>与人身保险伤残程度等级相对应的保险金给付比例分为十档，伤残程度第一级对应的保险金给付比例为100%，伤残程度第十级对应的保险金给付比例为10%，每级相差10%。</w:t>
      </w:r>
    </w:p>
    <w:p>
      <w:pPr>
        <w:spacing w:line="240" w:lineRule="exact"/>
        <w:ind w:firstLine="360" w:firstLineChars="200"/>
        <w:contextualSpacing/>
        <w:rPr>
          <w:rFonts w:hint="eastAsia" w:ascii="宋体" w:hAnsi="宋体" w:eastAsia="宋体"/>
          <w:sz w:val="18"/>
          <w:szCs w:val="18"/>
        </w:rPr>
      </w:pPr>
    </w:p>
    <w:p>
      <w:pPr>
        <w:contextualSpacing/>
        <w:rPr>
          <w:rFonts w:hint="eastAsia" w:ascii="宋体" w:hAnsi="宋体" w:eastAsia="宋体"/>
          <w:b/>
          <w:sz w:val="18"/>
          <w:szCs w:val="21"/>
        </w:rPr>
      </w:pPr>
      <w:r>
        <w:rPr>
          <w:rFonts w:hint="eastAsia" w:ascii="宋体" w:hAnsi="宋体" w:eastAsia="宋体"/>
          <w:b/>
          <w:sz w:val="18"/>
          <w:szCs w:val="21"/>
        </w:rPr>
        <w:t>4 伤残的评定原则</w:t>
      </w:r>
    </w:p>
    <w:p>
      <w:pPr>
        <w:rPr>
          <w:rFonts w:hint="eastAsia" w:ascii="宋体" w:hAnsi="宋体" w:eastAsia="宋体"/>
          <w:sz w:val="18"/>
          <w:szCs w:val="21"/>
        </w:rPr>
      </w:pPr>
      <w:r>
        <w:rPr>
          <w:rFonts w:hint="eastAsia" w:ascii="宋体" w:hAnsi="宋体" w:eastAsia="宋体"/>
          <w:sz w:val="18"/>
          <w:szCs w:val="21"/>
        </w:rPr>
        <w:t>4.1 确定伤残类别：评定伤残时，应根据人体的身体结构与功能损伤情况确定所涉及的伤残类别。</w:t>
      </w:r>
    </w:p>
    <w:p>
      <w:pPr>
        <w:rPr>
          <w:rFonts w:hint="eastAsia" w:ascii="宋体" w:hAnsi="宋体" w:eastAsia="宋体"/>
          <w:sz w:val="18"/>
          <w:szCs w:val="21"/>
        </w:rPr>
      </w:pPr>
      <w:r>
        <w:rPr>
          <w:rFonts w:hint="eastAsia" w:ascii="宋体" w:hAnsi="宋体" w:eastAsia="宋体"/>
          <w:sz w:val="18"/>
          <w:szCs w:val="21"/>
        </w:rPr>
        <w:t>4.2 确定伤残等级：应根据伤残情况，在同类别伤残下，确定伤残等级。</w:t>
      </w:r>
    </w:p>
    <w:p>
      <w:pPr>
        <w:rPr>
          <w:rFonts w:hint="eastAsia" w:ascii="宋体" w:hAnsi="宋体" w:eastAsia="宋体"/>
          <w:sz w:val="18"/>
          <w:szCs w:val="21"/>
        </w:rPr>
      </w:pPr>
      <w:r>
        <w:rPr>
          <w:rFonts w:hint="eastAsia" w:ascii="宋体" w:hAnsi="宋体" w:eastAsia="宋体"/>
          <w:sz w:val="18"/>
          <w:szCs w:val="21"/>
        </w:rPr>
        <w:t>4.3 确定保险金给付比例：应根据伤残等级对应的百分比，确定保险金给付比例。</w:t>
      </w:r>
    </w:p>
    <w:p>
      <w:pPr>
        <w:contextualSpacing/>
        <w:rPr>
          <w:rFonts w:hint="eastAsia" w:ascii="宋体" w:hAnsi="宋体" w:eastAsia="宋体"/>
          <w:sz w:val="18"/>
          <w:szCs w:val="21"/>
        </w:rPr>
      </w:pPr>
      <w:r>
        <w:rPr>
          <w:rFonts w:hint="eastAsia" w:ascii="宋体" w:hAnsi="宋体" w:eastAsia="宋体"/>
          <w:sz w:val="18"/>
          <w:szCs w:val="21"/>
        </w:rPr>
        <w:t>4.4 多处伤残的评定原则：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本标准条文两条以上或者同一条文两次以上进行评定。</w:t>
      </w:r>
    </w:p>
    <w:p>
      <w:pPr>
        <w:spacing w:line="240" w:lineRule="exact"/>
        <w:ind w:firstLine="360" w:firstLineChars="200"/>
        <w:contextualSpacing/>
        <w:rPr>
          <w:rFonts w:hint="eastAsia" w:ascii="宋体" w:hAnsi="宋体" w:eastAsia="宋体"/>
          <w:sz w:val="18"/>
          <w:szCs w:val="18"/>
        </w:rPr>
      </w:pPr>
    </w:p>
    <w:p>
      <w:pPr>
        <w:contextualSpacing/>
        <w:rPr>
          <w:rFonts w:hint="eastAsia" w:ascii="宋体" w:hAnsi="宋体" w:eastAsia="宋体"/>
          <w:b/>
          <w:sz w:val="18"/>
          <w:szCs w:val="21"/>
        </w:rPr>
      </w:pPr>
      <w:r>
        <w:rPr>
          <w:rFonts w:hint="eastAsia" w:ascii="宋体" w:hAnsi="宋体" w:eastAsia="宋体"/>
          <w:b/>
          <w:sz w:val="18"/>
          <w:szCs w:val="21"/>
        </w:rPr>
        <w:t>5 说明</w:t>
      </w:r>
    </w:p>
    <w:p>
      <w:pPr>
        <w:ind w:firstLine="360" w:firstLineChars="200"/>
        <w:contextualSpacing/>
        <w:rPr>
          <w:szCs w:val="21"/>
        </w:rPr>
      </w:pPr>
      <w:r>
        <w:rPr>
          <w:rFonts w:hint="eastAsia" w:ascii="宋体" w:hAnsi="宋体" w:eastAsia="宋体"/>
          <w:sz w:val="18"/>
          <w:szCs w:val="21"/>
        </w:rPr>
        <w:t>本标准中“以上”均包括本数值或本部位。</w:t>
      </w:r>
    </w:p>
    <w:p>
      <w:pPr>
        <w:pStyle w:val="2"/>
        <w:spacing w:line="240" w:lineRule="auto"/>
        <w:jc w:val="center"/>
        <w:rPr>
          <w:sz w:val="24"/>
          <w:szCs w:val="24"/>
        </w:rPr>
      </w:pPr>
      <w:r>
        <w:rPr>
          <w:rFonts w:hint="eastAsia"/>
          <w:sz w:val="24"/>
          <w:szCs w:val="24"/>
        </w:rPr>
        <w:t>人身保险伤残评定标准（行业标准）</w:t>
      </w:r>
      <w:bookmarkEnd w:id="1"/>
    </w:p>
    <w:p>
      <w:pPr>
        <w:rPr>
          <w:rFonts w:ascii="楷体" w:hAnsi="楷体" w:eastAsia="楷体"/>
          <w:szCs w:val="21"/>
        </w:rPr>
      </w:pPr>
      <w:r>
        <w:rPr>
          <w:rFonts w:hint="eastAsia" w:ascii="楷体" w:hAnsi="楷体" w:eastAsia="楷体"/>
          <w:szCs w:val="21"/>
        </w:rPr>
        <w:t>说明：本标准对功能和残疾进行了分类和分级，将人身保险伤残程度划分为一至十级，最重为第一级，最轻为第十级。与人身保险伤残程度等级相对应的保险金给付比例分为十档，伤残程度第一级对应的保险金给付比例为</w:t>
      </w:r>
      <w:r>
        <w:rPr>
          <w:rFonts w:ascii="楷体" w:hAnsi="楷体" w:eastAsia="楷体"/>
          <w:szCs w:val="21"/>
        </w:rPr>
        <w:t>100%，伤残程度第十级对应的保险金给付比例为10%，每级相差10%。</w:t>
      </w:r>
    </w:p>
    <w:p>
      <w:pPr>
        <w:spacing w:line="240" w:lineRule="exact"/>
        <w:ind w:firstLine="360" w:firstLineChars="200"/>
        <w:contextualSpacing/>
        <w:rPr>
          <w:rFonts w:hint="eastAsia" w:ascii="宋体" w:hAnsi="宋体" w:eastAsia="宋体"/>
          <w:sz w:val="18"/>
          <w:szCs w:val="18"/>
        </w:rPr>
      </w:pPr>
    </w:p>
    <w:p>
      <w:pPr>
        <w:pStyle w:val="3"/>
        <w:numPr>
          <w:ilvl w:val="0"/>
          <w:numId w:val="1"/>
        </w:numPr>
        <w:contextualSpacing/>
        <w:rPr>
          <w:rFonts w:hint="eastAsia" w:ascii="宋体" w:hAnsi="宋体" w:eastAsia="宋体"/>
          <w:sz w:val="18"/>
          <w:szCs w:val="21"/>
        </w:rPr>
      </w:pPr>
      <w:bookmarkStart w:id="2" w:name="_Toc356463463"/>
      <w:r>
        <w:rPr>
          <w:rFonts w:hint="eastAsia" w:ascii="宋体" w:hAnsi="宋体" w:eastAsia="宋体"/>
          <w:sz w:val="18"/>
          <w:szCs w:val="21"/>
        </w:rPr>
        <w:t>神经系统的结构和精神功能</w:t>
      </w:r>
      <w:bookmarkEnd w:id="2"/>
    </w:p>
    <w:p>
      <w:pPr>
        <w:pStyle w:val="4"/>
        <w:numPr>
          <w:ilvl w:val="1"/>
          <w:numId w:val="1"/>
        </w:numPr>
        <w:ind w:left="0" w:firstLine="0"/>
        <w:contextualSpacing/>
        <w:rPr>
          <w:rFonts w:hint="eastAsia" w:ascii="宋体" w:hAnsi="宋体" w:eastAsia="宋体"/>
          <w:sz w:val="18"/>
          <w:szCs w:val="21"/>
        </w:rPr>
      </w:pPr>
      <w:bookmarkStart w:id="3" w:name="_Toc356463464"/>
      <w:r>
        <w:rPr>
          <w:rFonts w:hint="eastAsia" w:ascii="宋体" w:hAnsi="宋体" w:eastAsia="宋体"/>
          <w:sz w:val="18"/>
          <w:szCs w:val="21"/>
        </w:rPr>
        <w:t>脑膜的结构损伤</w:t>
      </w:r>
      <w:bookmarkEnd w:id="3"/>
    </w:p>
    <w:tbl>
      <w:tblPr>
        <w:tblStyle w:val="11"/>
        <w:tblW w:w="94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3"/>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 w:hRule="atLeast"/>
          <w:jc w:val="center"/>
        </w:trPr>
        <w:tc>
          <w:tcPr>
            <w:tcW w:w="8353" w:type="dxa"/>
            <w:vAlign w:val="center"/>
          </w:tcPr>
          <w:p>
            <w:pPr>
              <w:ind w:left="0" w:leftChars="0" w:right="0" w:rightChars="0" w:firstLine="0" w:firstLineChars="0"/>
              <w:rPr>
                <w:rFonts w:hint="eastAsia" w:ascii="宋体" w:hAnsi="宋体" w:eastAsia="宋体"/>
                <w:sz w:val="18"/>
              </w:rPr>
            </w:pPr>
            <w:r>
              <w:rPr>
                <w:rFonts w:hint="eastAsia" w:ascii="宋体" w:hAnsi="宋体" w:eastAsia="宋体"/>
                <w:sz w:val="18"/>
                <w:szCs w:val="21"/>
              </w:rPr>
              <w:t>外伤性脑脊液鼻漏或耳漏</w:t>
            </w:r>
          </w:p>
        </w:tc>
        <w:tc>
          <w:tcPr>
            <w:tcW w:w="1067" w:type="dxa"/>
            <w:vAlign w:val="center"/>
          </w:tcPr>
          <w:p>
            <w:pPr>
              <w:ind w:left="0" w:leftChars="0" w:right="0" w:rightChars="0" w:firstLine="0" w:firstLineChars="0"/>
              <w:jc w:val="center"/>
              <w:rPr>
                <w:rFonts w:hint="eastAsia" w:ascii="宋体" w:hAnsi="宋体" w:eastAsia="宋体"/>
                <w:sz w:val="18"/>
              </w:rPr>
            </w:pPr>
            <w:r>
              <w:rPr>
                <w:rFonts w:hint="eastAsia" w:ascii="宋体" w:hAnsi="宋体" w:eastAsia="宋体"/>
                <w:color w:val="000000"/>
                <w:sz w:val="18"/>
                <w:szCs w:val="21"/>
              </w:rPr>
              <w:t>10级</w:t>
            </w:r>
          </w:p>
        </w:tc>
      </w:tr>
    </w:tbl>
    <w:p>
      <w:pPr>
        <w:spacing w:line="240" w:lineRule="exact"/>
        <w:ind w:firstLine="360" w:firstLineChars="200"/>
        <w:contextualSpacing/>
        <w:rPr>
          <w:rFonts w:hint="eastAsia" w:ascii="宋体" w:hAnsi="宋体" w:eastAsia="宋体"/>
          <w:sz w:val="18"/>
          <w:szCs w:val="21"/>
        </w:rPr>
      </w:pPr>
    </w:p>
    <w:p>
      <w:pPr>
        <w:pStyle w:val="4"/>
        <w:numPr>
          <w:ilvl w:val="1"/>
          <w:numId w:val="1"/>
        </w:numPr>
        <w:ind w:left="0" w:firstLine="0"/>
        <w:contextualSpacing/>
        <w:rPr>
          <w:rFonts w:hint="eastAsia" w:ascii="宋体" w:hAnsi="宋体" w:eastAsia="宋体"/>
          <w:sz w:val="18"/>
          <w:szCs w:val="21"/>
        </w:rPr>
      </w:pPr>
      <w:bookmarkStart w:id="4" w:name="_Toc356463465"/>
      <w:r>
        <w:rPr>
          <w:rFonts w:hint="eastAsia" w:ascii="宋体" w:hAnsi="宋体" w:eastAsia="宋体"/>
          <w:sz w:val="18"/>
          <w:szCs w:val="21"/>
        </w:rPr>
        <w:t>脑的结构损伤，智力功能障碍</w:t>
      </w:r>
      <w:bookmarkEnd w:id="4"/>
    </w:p>
    <w:tbl>
      <w:tblPr>
        <w:tblStyle w:val="11"/>
        <w:tblW w:w="95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9"/>
        <w:gridCol w:w="1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jc w:val="center"/>
        </w:trPr>
        <w:tc>
          <w:tcPr>
            <w:tcW w:w="8459" w:type="dxa"/>
            <w:vAlign w:val="center"/>
          </w:tcPr>
          <w:p>
            <w:pPr>
              <w:spacing w:line="240" w:lineRule="exact"/>
              <w:ind w:left="0" w:leftChars="0" w:right="0" w:rightChars="0" w:firstLine="0" w:firstLineChars="0"/>
              <w:contextualSpacing/>
              <w:rPr>
                <w:rFonts w:hint="eastAsia" w:ascii="宋体" w:hAnsi="宋体" w:eastAsia="宋体"/>
                <w:sz w:val="18"/>
                <w:szCs w:val="21"/>
              </w:rPr>
            </w:pPr>
            <w:r>
              <w:rPr>
                <w:rFonts w:hint="eastAsia" w:ascii="宋体" w:hAnsi="宋体" w:eastAsia="宋体"/>
                <w:sz w:val="18"/>
                <w:szCs w:val="21"/>
              </w:rPr>
              <w:t>颅脑损伤导致极度智力缺损（智商小于等于20），日常生活完全不能自理，处于完全护理依赖状态</w:t>
            </w:r>
          </w:p>
        </w:tc>
        <w:tc>
          <w:tcPr>
            <w:tcW w:w="1081" w:type="dxa"/>
            <w:vAlign w:val="center"/>
          </w:tcPr>
          <w:p>
            <w:pPr>
              <w:spacing w:line="240" w:lineRule="exact"/>
              <w:ind w:left="0" w:leftChars="0" w:right="0" w:rightChars="0" w:firstLine="0" w:firstLineChars="0"/>
              <w:contextualSpacing/>
              <w:jc w:val="center"/>
              <w:rPr>
                <w:rFonts w:hint="eastAsia" w:ascii="宋体" w:hAnsi="宋体" w:eastAsia="宋体"/>
                <w:sz w:val="18"/>
                <w:szCs w:val="21"/>
              </w:rPr>
            </w:pPr>
            <w:r>
              <w:rPr>
                <w:rFonts w:hint="eastAsia" w:ascii="宋体" w:hAnsi="宋体" w:eastAsia="宋体"/>
                <w:sz w:val="18"/>
                <w:szCs w:val="21"/>
              </w:rPr>
              <w:t>1级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4" w:hRule="atLeast"/>
          <w:jc w:val="center"/>
        </w:trPr>
        <w:tc>
          <w:tcPr>
            <w:tcW w:w="8459" w:type="dxa"/>
            <w:vAlign w:val="center"/>
          </w:tcPr>
          <w:p>
            <w:pPr>
              <w:spacing w:line="240" w:lineRule="exact"/>
              <w:ind w:left="0" w:leftChars="0" w:right="0" w:rightChars="0" w:firstLine="0" w:firstLineChars="0"/>
              <w:contextualSpacing/>
              <w:rPr>
                <w:rFonts w:hint="eastAsia" w:ascii="宋体" w:hAnsi="宋体" w:eastAsia="宋体"/>
                <w:sz w:val="18"/>
                <w:szCs w:val="21"/>
              </w:rPr>
            </w:pPr>
            <w:r>
              <w:rPr>
                <w:rFonts w:hint="eastAsia" w:ascii="宋体" w:hAnsi="宋体" w:eastAsia="宋体"/>
                <w:sz w:val="18"/>
                <w:szCs w:val="21"/>
              </w:rPr>
              <w:t>颅脑损伤导致重度智力缺损（智商小于等于34），日常生活需随时有人帮助才能完成，处于完全护理依赖状态</w:t>
            </w:r>
          </w:p>
        </w:tc>
        <w:tc>
          <w:tcPr>
            <w:tcW w:w="1081" w:type="dxa"/>
            <w:vAlign w:val="center"/>
          </w:tcPr>
          <w:p>
            <w:pPr>
              <w:spacing w:line="240" w:lineRule="exact"/>
              <w:ind w:left="0" w:leftChars="0" w:right="0" w:rightChars="0" w:firstLine="0" w:firstLineChars="0"/>
              <w:contextualSpacing/>
              <w:jc w:val="center"/>
              <w:rPr>
                <w:rFonts w:hint="eastAsia" w:ascii="宋体" w:hAnsi="宋体" w:eastAsia="宋体"/>
                <w:sz w:val="18"/>
                <w:szCs w:val="21"/>
              </w:rPr>
            </w:pPr>
            <w:r>
              <w:rPr>
                <w:rFonts w:hint="eastAsia" w:ascii="宋体" w:hAnsi="宋体" w:eastAsia="宋体"/>
                <w:sz w:val="18"/>
                <w:szCs w:val="21"/>
              </w:rPr>
              <w:t>2级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4" w:hRule="atLeast"/>
          <w:jc w:val="center"/>
        </w:trPr>
        <w:tc>
          <w:tcPr>
            <w:tcW w:w="8459" w:type="dxa"/>
            <w:vAlign w:val="center"/>
          </w:tcPr>
          <w:p>
            <w:pPr>
              <w:spacing w:line="240" w:lineRule="exact"/>
              <w:ind w:left="0" w:leftChars="0" w:right="0" w:rightChars="0" w:firstLine="0" w:firstLineChars="0"/>
              <w:contextualSpacing/>
              <w:rPr>
                <w:rFonts w:hint="eastAsia" w:ascii="宋体" w:hAnsi="宋体" w:eastAsia="宋体"/>
                <w:sz w:val="18"/>
                <w:szCs w:val="21"/>
              </w:rPr>
            </w:pPr>
            <w:r>
              <w:rPr>
                <w:rFonts w:hint="eastAsia" w:ascii="宋体" w:hAnsi="宋体" w:eastAsia="宋体"/>
                <w:sz w:val="18"/>
                <w:szCs w:val="21"/>
              </w:rPr>
              <w:t>颅脑损伤导致重度智力缺损（智商小于等于34），不能完全独立生活，需经常有人监护，处于大部分护理依赖状态</w:t>
            </w:r>
          </w:p>
        </w:tc>
        <w:tc>
          <w:tcPr>
            <w:tcW w:w="1081" w:type="dxa"/>
            <w:vAlign w:val="center"/>
          </w:tcPr>
          <w:p>
            <w:pPr>
              <w:spacing w:line="240" w:lineRule="exact"/>
              <w:ind w:left="0" w:leftChars="0" w:right="0" w:rightChars="0" w:firstLine="0" w:firstLineChars="0"/>
              <w:contextualSpacing/>
              <w:jc w:val="center"/>
              <w:rPr>
                <w:rFonts w:hint="eastAsia" w:ascii="宋体" w:hAnsi="宋体" w:eastAsia="宋体"/>
                <w:sz w:val="18"/>
                <w:szCs w:val="21"/>
              </w:rPr>
            </w:pPr>
            <w:r>
              <w:rPr>
                <w:rFonts w:hint="eastAsia" w:ascii="宋体" w:hAnsi="宋体" w:eastAsia="宋体"/>
                <w:sz w:val="18"/>
                <w:szCs w:val="21"/>
              </w:rPr>
              <w:t>3级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7" w:hRule="atLeast"/>
          <w:jc w:val="center"/>
        </w:trPr>
        <w:tc>
          <w:tcPr>
            <w:tcW w:w="8459" w:type="dxa"/>
            <w:vAlign w:val="center"/>
          </w:tcPr>
          <w:p>
            <w:pPr>
              <w:spacing w:line="240" w:lineRule="exact"/>
              <w:ind w:left="0" w:leftChars="0" w:right="0" w:rightChars="0" w:firstLine="0" w:firstLineChars="0"/>
              <w:contextualSpacing/>
              <w:rPr>
                <w:rFonts w:hint="eastAsia" w:ascii="宋体" w:hAnsi="宋体" w:eastAsia="宋体"/>
                <w:sz w:val="18"/>
                <w:szCs w:val="21"/>
              </w:rPr>
            </w:pPr>
            <w:r>
              <w:rPr>
                <w:rFonts w:hint="eastAsia" w:ascii="宋体" w:hAnsi="宋体" w:eastAsia="宋体"/>
                <w:sz w:val="18"/>
                <w:szCs w:val="21"/>
              </w:rPr>
              <w:t>颅脑损伤导致中度智力缺损（智商小于等于49），日常生活能力严重受限，间或需要帮助，处于大部分护理依赖状态</w:t>
            </w:r>
          </w:p>
        </w:tc>
        <w:tc>
          <w:tcPr>
            <w:tcW w:w="1081" w:type="dxa"/>
            <w:vAlign w:val="center"/>
          </w:tcPr>
          <w:p>
            <w:pPr>
              <w:spacing w:line="240" w:lineRule="exact"/>
              <w:ind w:left="0" w:leftChars="0" w:right="0" w:rightChars="0" w:firstLine="0" w:firstLineChars="0"/>
              <w:contextualSpacing/>
              <w:jc w:val="center"/>
              <w:rPr>
                <w:rFonts w:hint="eastAsia" w:ascii="宋体" w:hAnsi="宋体" w:eastAsia="宋体"/>
                <w:sz w:val="18"/>
                <w:szCs w:val="21"/>
              </w:rPr>
            </w:pPr>
            <w:r>
              <w:rPr>
                <w:rFonts w:hint="eastAsia" w:ascii="宋体" w:hAnsi="宋体" w:eastAsia="宋体"/>
                <w:sz w:val="18"/>
                <w:szCs w:val="21"/>
              </w:rPr>
              <w:t>4级</w:t>
            </w:r>
          </w:p>
        </w:tc>
      </w:tr>
    </w:tbl>
    <w:p>
      <w:pPr>
        <w:spacing w:line="240" w:lineRule="exact"/>
        <w:contextualSpacing/>
        <w:rPr>
          <w:rFonts w:hint="eastAsia"/>
          <w:szCs w:val="21"/>
        </w:rPr>
      </w:pPr>
    </w:p>
    <w:p>
      <w:pPr>
        <w:pStyle w:val="14"/>
        <w:rPr>
          <w:sz w:val="21"/>
          <w:szCs w:val="21"/>
        </w:rPr>
      </w:pPr>
      <w:r>
        <w:rPr>
          <w:rFonts w:hint="eastAsia"/>
          <w:sz w:val="21"/>
          <w:szCs w:val="21"/>
        </w:rPr>
        <w:t>注：</w:t>
      </w:r>
      <w:r>
        <w:rPr>
          <w:sz w:val="21"/>
          <w:szCs w:val="21"/>
        </w:rPr>
        <w:fldChar w:fldCharType="begin"/>
      </w:r>
      <w:r>
        <w:rPr>
          <w:sz w:val="21"/>
          <w:szCs w:val="21"/>
        </w:rPr>
        <w:instrText xml:space="preserve"> eq \o\ac(○,1)</w:instrText>
      </w:r>
      <w:r>
        <w:rPr>
          <w:sz w:val="21"/>
          <w:szCs w:val="21"/>
        </w:rPr>
        <w:fldChar w:fldCharType="end"/>
      </w:r>
      <w:r>
        <w:rPr>
          <w:rFonts w:hint="eastAsia"/>
          <w:sz w:val="21"/>
          <w:szCs w:val="21"/>
        </w:rPr>
        <w:t>护理依赖：应用“基本日常生活活动能力”的丧失程度来判断护理依赖程度。</w:t>
      </w:r>
    </w:p>
    <w:p>
      <w:pPr>
        <w:pStyle w:val="14"/>
        <w:ind w:left="8" w:leftChars="4" w:firstLine="413" w:firstLineChars="197"/>
        <w:rPr>
          <w:sz w:val="21"/>
          <w:szCs w:val="21"/>
        </w:rPr>
      </w:pPr>
      <w:r>
        <w:rPr>
          <w:sz w:val="21"/>
          <w:szCs w:val="21"/>
        </w:rPr>
        <w:fldChar w:fldCharType="begin"/>
      </w:r>
      <w:r>
        <w:rPr>
          <w:sz w:val="21"/>
          <w:szCs w:val="21"/>
        </w:rPr>
        <w:instrText xml:space="preserve"> eq \o\ac(○,2)</w:instrText>
      </w:r>
      <w:r>
        <w:rPr>
          <w:sz w:val="21"/>
          <w:szCs w:val="21"/>
        </w:rPr>
        <w:fldChar w:fldCharType="end"/>
      </w:r>
      <w:r>
        <w:rPr>
          <w:rFonts w:hint="eastAsia"/>
          <w:sz w:val="21"/>
          <w:szCs w:val="21"/>
        </w:rPr>
        <w:t>基本日常生活活动是指：（1）</w:t>
      </w:r>
      <w:r>
        <w:rPr>
          <w:sz w:val="21"/>
          <w:szCs w:val="21"/>
        </w:rPr>
        <w:t>穿衣：自己能够穿衣及脱衣；</w:t>
      </w:r>
      <w:r>
        <w:rPr>
          <w:rFonts w:hint="eastAsia"/>
          <w:sz w:val="21"/>
          <w:szCs w:val="21"/>
        </w:rPr>
        <w:t>（2）</w:t>
      </w:r>
      <w:r>
        <w:rPr>
          <w:sz w:val="21"/>
          <w:szCs w:val="21"/>
        </w:rPr>
        <w:t>移动：自己从一个房间到另一个房间；</w:t>
      </w:r>
      <w:r>
        <w:rPr>
          <w:rFonts w:hint="eastAsia"/>
          <w:sz w:val="21"/>
          <w:szCs w:val="21"/>
        </w:rPr>
        <w:t>（3）</w:t>
      </w:r>
      <w:r>
        <w:rPr>
          <w:sz w:val="21"/>
          <w:szCs w:val="21"/>
        </w:rPr>
        <w:t>行动：自己上下床或上下轮椅；</w:t>
      </w:r>
      <w:r>
        <w:rPr>
          <w:rFonts w:hint="eastAsia"/>
          <w:sz w:val="21"/>
          <w:szCs w:val="21"/>
        </w:rPr>
        <w:t>（4）</w:t>
      </w:r>
      <w:r>
        <w:rPr>
          <w:sz w:val="21"/>
          <w:szCs w:val="21"/>
        </w:rPr>
        <w:t>如厕：自己控制进行大小便；</w:t>
      </w:r>
      <w:r>
        <w:rPr>
          <w:rFonts w:hint="eastAsia"/>
          <w:sz w:val="21"/>
          <w:szCs w:val="21"/>
        </w:rPr>
        <w:t>（5）</w:t>
      </w:r>
      <w:r>
        <w:rPr>
          <w:sz w:val="21"/>
          <w:szCs w:val="21"/>
        </w:rPr>
        <w:t>进食：自己从已准备好的碗或碟中取食物放入口中；</w:t>
      </w:r>
      <w:r>
        <w:rPr>
          <w:rFonts w:hint="eastAsia"/>
          <w:sz w:val="21"/>
          <w:szCs w:val="21"/>
        </w:rPr>
        <w:t>（6）</w:t>
      </w:r>
      <w:r>
        <w:rPr>
          <w:sz w:val="21"/>
          <w:szCs w:val="21"/>
        </w:rPr>
        <w:t>洗澡：自己进行淋浴或盆浴。</w:t>
      </w:r>
    </w:p>
    <w:p>
      <w:pPr>
        <w:pStyle w:val="14"/>
        <w:ind w:left="2" w:firstLine="369" w:firstLineChars="176"/>
        <w:rPr>
          <w:sz w:val="21"/>
          <w:szCs w:val="21"/>
        </w:rPr>
      </w:pPr>
      <w:r>
        <w:rPr>
          <w:rFonts w:hint="eastAsia"/>
          <w:sz w:val="21"/>
          <w:szCs w:val="21"/>
        </w:rPr>
        <w:t xml:space="preserve"> </w:t>
      </w:r>
      <w:r>
        <w:rPr>
          <w:sz w:val="21"/>
          <w:szCs w:val="21"/>
        </w:rPr>
        <w:fldChar w:fldCharType="begin"/>
      </w:r>
      <w:r>
        <w:rPr>
          <w:sz w:val="21"/>
          <w:szCs w:val="21"/>
        </w:rPr>
        <w:instrText xml:space="preserve"> eq \o\ac(○,3)</w:instrText>
      </w:r>
      <w:r>
        <w:rPr>
          <w:sz w:val="21"/>
          <w:szCs w:val="21"/>
        </w:rPr>
        <w:fldChar w:fldCharType="end"/>
      </w:r>
      <w:r>
        <w:rPr>
          <w:rFonts w:hint="eastAsia"/>
          <w:sz w:val="21"/>
          <w:szCs w:val="21"/>
        </w:rPr>
        <w:t>护理依赖的程度分三级：（1）</w:t>
      </w:r>
      <w:r>
        <w:rPr>
          <w:sz w:val="21"/>
          <w:szCs w:val="21"/>
        </w:rPr>
        <w:t>完全护理依赖指生活完全不能自理，上述六项基本日常生活活动均需护理者；</w:t>
      </w:r>
      <w:r>
        <w:rPr>
          <w:rFonts w:hint="eastAsia"/>
          <w:sz w:val="21"/>
          <w:szCs w:val="21"/>
        </w:rPr>
        <w:t>（2）</w:t>
      </w:r>
      <w:r>
        <w:rPr>
          <w:sz w:val="21"/>
          <w:szCs w:val="21"/>
        </w:rPr>
        <w:t>大部分护理依赖指生活大部不能自理，上述六项基本日常生活活动中三项或三项以上需要护理者；</w:t>
      </w:r>
      <w:r>
        <w:rPr>
          <w:rFonts w:hint="eastAsia"/>
          <w:sz w:val="21"/>
          <w:szCs w:val="21"/>
        </w:rPr>
        <w:t>（3）</w:t>
      </w:r>
      <w:r>
        <w:rPr>
          <w:sz w:val="21"/>
          <w:szCs w:val="21"/>
        </w:rPr>
        <w:t>部分护理依赖指部分生活不能自理，上述六项基本日常生活活动中一项或一项以上需要护理者。</w:t>
      </w:r>
    </w:p>
    <w:p>
      <w:pPr>
        <w:spacing w:line="240" w:lineRule="exact"/>
        <w:ind w:firstLine="420" w:firstLineChars="200"/>
        <w:contextualSpacing/>
        <w:rPr>
          <w:szCs w:val="21"/>
        </w:rPr>
      </w:pPr>
    </w:p>
    <w:p>
      <w:pPr>
        <w:pStyle w:val="4"/>
        <w:numPr>
          <w:ilvl w:val="1"/>
          <w:numId w:val="1"/>
        </w:numPr>
        <w:ind w:left="0" w:firstLine="0"/>
        <w:contextualSpacing/>
        <w:rPr>
          <w:rFonts w:hint="eastAsia" w:ascii="宋体" w:hAnsi="宋体" w:eastAsia="宋体"/>
          <w:sz w:val="18"/>
          <w:szCs w:val="21"/>
        </w:rPr>
      </w:pPr>
      <w:bookmarkStart w:id="5" w:name="_Toc356463466"/>
      <w:r>
        <w:rPr>
          <w:rFonts w:hint="eastAsia" w:ascii="宋体" w:hAnsi="宋体" w:eastAsia="宋体"/>
          <w:sz w:val="18"/>
          <w:szCs w:val="21"/>
        </w:rPr>
        <w:t>意识功能障碍</w:t>
      </w:r>
      <w:bookmarkEnd w:id="5"/>
    </w:p>
    <w:p>
      <w:pPr>
        <w:ind w:firstLine="360" w:firstLineChars="200"/>
        <w:rPr>
          <w:rFonts w:hint="eastAsia" w:ascii="宋体" w:hAnsi="宋体" w:eastAsia="宋体"/>
          <w:sz w:val="18"/>
          <w:szCs w:val="21"/>
        </w:rPr>
      </w:pPr>
      <w:r>
        <w:rPr>
          <w:rFonts w:hint="eastAsia" w:ascii="宋体" w:hAnsi="宋体" w:eastAsia="宋体"/>
          <w:sz w:val="18"/>
          <w:szCs w:val="21"/>
        </w:rPr>
        <w:t>意识功能是指意识和警觉状态下的一般精神功能，包括清醒和持续的觉醒状态。本标准中的意识功能障碍是指颅脑损伤导致植物状态。</w:t>
      </w:r>
    </w:p>
    <w:tbl>
      <w:tblPr>
        <w:tblStyle w:val="11"/>
        <w:tblW w:w="96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3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2" w:hRule="atLeast"/>
          <w:jc w:val="center"/>
        </w:trPr>
        <w:tc>
          <w:tcPr>
            <w:tcW w:w="8530"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颅脑损伤导致植物状态</w:t>
            </w:r>
          </w:p>
        </w:tc>
        <w:tc>
          <w:tcPr>
            <w:tcW w:w="1090"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1级</w:t>
            </w:r>
          </w:p>
        </w:tc>
      </w:tr>
    </w:tbl>
    <w:p>
      <w:pPr>
        <w:spacing w:line="240" w:lineRule="exact"/>
        <w:contextualSpacing/>
        <w:rPr>
          <w:rFonts w:hint="eastAsia" w:ascii="宋体" w:hAnsi="宋体" w:eastAsia="宋体"/>
          <w:sz w:val="18"/>
          <w:szCs w:val="21"/>
        </w:rPr>
      </w:pPr>
    </w:p>
    <w:p>
      <w:pPr>
        <w:pStyle w:val="14"/>
        <w:ind w:left="2"/>
        <w:rPr>
          <w:rFonts w:hint="eastAsia" w:ascii="宋体" w:hAnsi="宋体" w:eastAsia="宋体"/>
          <w:sz w:val="18"/>
          <w:szCs w:val="21"/>
        </w:rPr>
      </w:pPr>
      <w:r>
        <w:rPr>
          <w:rFonts w:hint="eastAsia" w:ascii="宋体" w:hAnsi="宋体" w:eastAsia="宋体"/>
          <w:sz w:val="18"/>
          <w:szCs w:val="21"/>
        </w:rPr>
        <w:t>注：植物状态指由于严重颅脑损伤造成认知功能丧失，无意识活动，不能执行命令，保持自主呼吸和血压，有睡眠-醒觉周期，不能理解和表达语言，能自动睁眼或刺激下睁眼，可有无目的性眼球跟踪运动，丘脑下部及脑干功能基本保存。</w:t>
      </w:r>
    </w:p>
    <w:p>
      <w:pPr>
        <w:spacing w:line="240" w:lineRule="exact"/>
        <w:ind w:firstLine="360" w:firstLineChars="200"/>
        <w:contextualSpacing/>
        <w:rPr>
          <w:rFonts w:hint="eastAsia" w:ascii="宋体" w:hAnsi="宋体" w:eastAsia="宋体"/>
          <w:sz w:val="18"/>
          <w:szCs w:val="21"/>
        </w:rPr>
      </w:pPr>
    </w:p>
    <w:p>
      <w:pPr>
        <w:pStyle w:val="3"/>
        <w:numPr>
          <w:ilvl w:val="0"/>
          <w:numId w:val="1"/>
        </w:numPr>
        <w:contextualSpacing/>
        <w:rPr>
          <w:rFonts w:hint="eastAsia" w:ascii="宋体" w:hAnsi="宋体" w:eastAsia="宋体"/>
          <w:sz w:val="18"/>
          <w:szCs w:val="21"/>
        </w:rPr>
      </w:pPr>
      <w:bookmarkStart w:id="6" w:name="_Toc356463467"/>
      <w:r>
        <w:rPr>
          <w:rFonts w:hint="eastAsia" w:ascii="宋体" w:hAnsi="宋体" w:eastAsia="宋体"/>
          <w:sz w:val="18"/>
          <w:szCs w:val="21"/>
        </w:rPr>
        <w:t>眼，耳和有关的结构和功能</w:t>
      </w:r>
      <w:bookmarkEnd w:id="6"/>
    </w:p>
    <w:p>
      <w:pPr>
        <w:pStyle w:val="4"/>
        <w:numPr>
          <w:ilvl w:val="1"/>
          <w:numId w:val="1"/>
        </w:numPr>
        <w:ind w:left="0" w:firstLine="0"/>
        <w:contextualSpacing/>
        <w:rPr>
          <w:rFonts w:hint="eastAsia" w:ascii="宋体" w:hAnsi="宋体" w:eastAsia="宋体"/>
          <w:sz w:val="18"/>
          <w:szCs w:val="21"/>
        </w:rPr>
      </w:pPr>
      <w:bookmarkStart w:id="7" w:name="_Toc356463468"/>
      <w:r>
        <w:rPr>
          <w:rFonts w:hint="eastAsia" w:ascii="宋体" w:hAnsi="宋体" w:eastAsia="宋体"/>
          <w:sz w:val="18"/>
          <w:szCs w:val="21"/>
        </w:rPr>
        <w:t>眼球损伤或视功能障碍</w:t>
      </w:r>
      <w:bookmarkEnd w:id="7"/>
    </w:p>
    <w:p>
      <w:pPr>
        <w:ind w:firstLine="360" w:firstLineChars="200"/>
        <w:rPr>
          <w:rFonts w:hint="eastAsia" w:ascii="宋体" w:hAnsi="宋体" w:eastAsia="宋体"/>
          <w:sz w:val="18"/>
          <w:szCs w:val="21"/>
          <w:lang w:val="en-GB"/>
        </w:rPr>
      </w:pPr>
      <w:r>
        <w:rPr>
          <w:rFonts w:hint="eastAsia" w:ascii="宋体" w:hAnsi="宋体" w:eastAsia="宋体"/>
          <w:sz w:val="18"/>
          <w:szCs w:val="21"/>
          <w:lang w:val="en-GB"/>
        </w:rPr>
        <w:t>视功能是指与感受存在的光线和感受视觉刺激的形式、大小、形状和颜色等有关的感觉功能。本标准中的视功能障碍是指眼盲目或低视力。</w:t>
      </w:r>
    </w:p>
    <w:tbl>
      <w:tblPr>
        <w:tblStyle w:val="11"/>
        <w:tblW w:w="96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7"/>
        <w:gridCol w:w="1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jc w:val="center"/>
        </w:trPr>
        <w:tc>
          <w:tcPr>
            <w:tcW w:w="8547"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双侧眼球缺失</w:t>
            </w:r>
          </w:p>
        </w:tc>
        <w:tc>
          <w:tcPr>
            <w:tcW w:w="1093"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jc w:val="center"/>
        </w:trPr>
        <w:tc>
          <w:tcPr>
            <w:tcW w:w="8547"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一侧眼球缺失，且另一侧眼盲目5级</w:t>
            </w:r>
          </w:p>
        </w:tc>
        <w:tc>
          <w:tcPr>
            <w:tcW w:w="1093"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jc w:val="center"/>
        </w:trPr>
        <w:tc>
          <w:tcPr>
            <w:tcW w:w="8547"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一侧眼球缺失，且另一侧眼盲目4级</w:t>
            </w:r>
          </w:p>
        </w:tc>
        <w:tc>
          <w:tcPr>
            <w:tcW w:w="1093"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2级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jc w:val="center"/>
        </w:trPr>
        <w:tc>
          <w:tcPr>
            <w:tcW w:w="8547"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一侧眼球缺失，且另一侧眼盲目3级</w:t>
            </w:r>
          </w:p>
        </w:tc>
        <w:tc>
          <w:tcPr>
            <w:tcW w:w="1093"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jc w:val="center"/>
        </w:trPr>
        <w:tc>
          <w:tcPr>
            <w:tcW w:w="8547"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一侧眼球缺失，且另一侧眼低视力2级</w:t>
            </w:r>
          </w:p>
        </w:tc>
        <w:tc>
          <w:tcPr>
            <w:tcW w:w="1093"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4级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jc w:val="center"/>
        </w:trPr>
        <w:tc>
          <w:tcPr>
            <w:tcW w:w="8547"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一侧眼球缺失，且另一侧眼低视力1级</w:t>
            </w:r>
          </w:p>
        </w:tc>
        <w:tc>
          <w:tcPr>
            <w:tcW w:w="1093"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jc w:val="center"/>
        </w:trPr>
        <w:tc>
          <w:tcPr>
            <w:tcW w:w="8547"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一侧眼球缺失</w:t>
            </w:r>
          </w:p>
        </w:tc>
        <w:tc>
          <w:tcPr>
            <w:tcW w:w="1093"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bl>
    <w:p>
      <w:pPr>
        <w:spacing w:line="240" w:lineRule="exact"/>
        <w:contextualSpacing/>
        <w:rPr>
          <w:rFonts w:hint="eastAsia" w:ascii="宋体" w:hAnsi="宋体" w:eastAsia="宋体"/>
          <w:sz w:val="18"/>
          <w:szCs w:val="21"/>
        </w:rPr>
      </w:pPr>
    </w:p>
    <w:p>
      <w:pPr>
        <w:pStyle w:val="4"/>
        <w:numPr>
          <w:ilvl w:val="1"/>
          <w:numId w:val="1"/>
        </w:numPr>
        <w:ind w:left="0" w:firstLine="0"/>
        <w:contextualSpacing/>
        <w:rPr>
          <w:rFonts w:hint="eastAsia" w:ascii="宋体" w:hAnsi="宋体" w:eastAsia="宋体"/>
          <w:sz w:val="18"/>
          <w:szCs w:val="21"/>
        </w:rPr>
      </w:pPr>
      <w:bookmarkStart w:id="8" w:name="_Toc356463469"/>
      <w:r>
        <w:rPr>
          <w:rFonts w:hint="eastAsia" w:ascii="宋体" w:hAnsi="宋体" w:eastAsia="宋体"/>
          <w:sz w:val="18"/>
          <w:szCs w:val="21"/>
        </w:rPr>
        <w:t>视功能障碍</w:t>
      </w:r>
      <w:bookmarkEnd w:id="8"/>
    </w:p>
    <w:p>
      <w:pPr>
        <w:ind w:firstLine="360" w:firstLineChars="200"/>
        <w:rPr>
          <w:rFonts w:hint="eastAsia" w:ascii="宋体" w:hAnsi="宋体" w:eastAsia="宋体"/>
          <w:sz w:val="18"/>
          <w:szCs w:val="21"/>
          <w:lang w:val="en-GB"/>
        </w:rPr>
      </w:pPr>
      <w:r>
        <w:rPr>
          <w:rFonts w:hint="eastAsia" w:ascii="宋体" w:hAnsi="宋体" w:eastAsia="宋体"/>
          <w:sz w:val="18"/>
          <w:szCs w:val="21"/>
          <w:lang w:val="en-GB"/>
        </w:rPr>
        <w:t>除眼盲目和低视力外，本标准中的视功能障碍还包括视野缺损。</w:t>
      </w:r>
    </w:p>
    <w:tbl>
      <w:tblPr>
        <w:tblStyle w:val="11"/>
        <w:tblW w:w="96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8"/>
        <w:gridCol w:w="10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548"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双眼盲目5级</w:t>
            </w:r>
          </w:p>
        </w:tc>
        <w:tc>
          <w:tcPr>
            <w:tcW w:w="1092"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2级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548"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双眼视野缺损，直径小于5°</w:t>
            </w:r>
          </w:p>
        </w:tc>
        <w:tc>
          <w:tcPr>
            <w:tcW w:w="1092"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2级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548"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双眼盲目大于等于4级</w:t>
            </w:r>
          </w:p>
        </w:tc>
        <w:tc>
          <w:tcPr>
            <w:tcW w:w="1092"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548"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双眼视野缺损，直径小于10°</w:t>
            </w:r>
          </w:p>
        </w:tc>
        <w:tc>
          <w:tcPr>
            <w:tcW w:w="1092"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548"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双眼盲目大于等于3级</w:t>
            </w:r>
          </w:p>
        </w:tc>
        <w:tc>
          <w:tcPr>
            <w:tcW w:w="1092"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4级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548"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双眼视野缺损，直径小于20°</w:t>
            </w:r>
          </w:p>
        </w:tc>
        <w:tc>
          <w:tcPr>
            <w:tcW w:w="1092"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4级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548"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双眼低视力大于等于2级</w:t>
            </w:r>
          </w:p>
        </w:tc>
        <w:tc>
          <w:tcPr>
            <w:tcW w:w="1092"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548"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双眼低视力大于等于1级</w:t>
            </w:r>
          </w:p>
        </w:tc>
        <w:tc>
          <w:tcPr>
            <w:tcW w:w="1092"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6级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548"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双眼视野缺损，直径小于60°</w:t>
            </w:r>
          </w:p>
        </w:tc>
        <w:tc>
          <w:tcPr>
            <w:tcW w:w="1092"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6级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548"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一眼盲目5级</w:t>
            </w:r>
          </w:p>
        </w:tc>
        <w:tc>
          <w:tcPr>
            <w:tcW w:w="1092"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548"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一眼视野缺损，直径小于5°</w:t>
            </w:r>
          </w:p>
        </w:tc>
        <w:tc>
          <w:tcPr>
            <w:tcW w:w="1092"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548"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一眼盲目大于等于4级</w:t>
            </w:r>
          </w:p>
        </w:tc>
        <w:tc>
          <w:tcPr>
            <w:tcW w:w="1092"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548"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一眼视野缺损，直径小于10°</w:t>
            </w:r>
          </w:p>
        </w:tc>
        <w:tc>
          <w:tcPr>
            <w:tcW w:w="1092"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548"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一眼盲目大于等于3级</w:t>
            </w:r>
          </w:p>
        </w:tc>
        <w:tc>
          <w:tcPr>
            <w:tcW w:w="1092"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548"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一眼视野缺损，直径小于20°</w:t>
            </w:r>
          </w:p>
        </w:tc>
        <w:tc>
          <w:tcPr>
            <w:tcW w:w="1092"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8548"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一眼低视力大于等于1级。</w:t>
            </w:r>
          </w:p>
        </w:tc>
        <w:tc>
          <w:tcPr>
            <w:tcW w:w="1092"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8548"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一眼视野缺损，直径小于60°</w:t>
            </w:r>
          </w:p>
        </w:tc>
        <w:tc>
          <w:tcPr>
            <w:tcW w:w="1092"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bl>
    <w:p>
      <w:pPr>
        <w:spacing w:line="240" w:lineRule="exact"/>
        <w:ind w:firstLine="420" w:firstLineChars="200"/>
        <w:contextualSpacing/>
        <w:rPr>
          <w:szCs w:val="21"/>
        </w:rPr>
      </w:pPr>
    </w:p>
    <w:p>
      <w:pPr>
        <w:pStyle w:val="14"/>
        <w:rPr>
          <w:sz w:val="21"/>
          <w:szCs w:val="21"/>
        </w:rPr>
      </w:pPr>
      <w:r>
        <w:rPr>
          <w:rFonts w:hint="eastAsia"/>
          <w:sz w:val="21"/>
          <w:szCs w:val="21"/>
          <w:lang w:val="en-GB"/>
        </w:rPr>
        <w:t>注：</w:t>
      </w:r>
      <w:r>
        <w:rPr>
          <w:sz w:val="21"/>
          <w:szCs w:val="21"/>
          <w:lang w:val="en-GB"/>
        </w:rPr>
        <w:fldChar w:fldCharType="begin"/>
      </w:r>
      <w:r>
        <w:rPr>
          <w:sz w:val="21"/>
          <w:szCs w:val="21"/>
          <w:lang w:val="en-GB"/>
        </w:rPr>
        <w:instrText xml:space="preserve"> = 1 \* GB3 </w:instrText>
      </w:r>
      <w:r>
        <w:rPr>
          <w:sz w:val="21"/>
          <w:szCs w:val="21"/>
          <w:lang w:val="en-GB"/>
        </w:rPr>
        <w:fldChar w:fldCharType="separate"/>
      </w:r>
      <w:r>
        <w:rPr>
          <w:rFonts w:hint="eastAsia"/>
          <w:sz w:val="21"/>
          <w:szCs w:val="21"/>
          <w:lang w:val="en-GB" w:eastAsia="zh-CN"/>
        </w:rPr>
        <w:t>①</w:t>
      </w:r>
      <w:r>
        <w:rPr>
          <w:sz w:val="21"/>
          <w:szCs w:val="21"/>
          <w:lang w:val="en-GB"/>
        </w:rPr>
        <w:fldChar w:fldCharType="end"/>
      </w:r>
      <w:r>
        <w:rPr>
          <w:rFonts w:hint="eastAsia"/>
          <w:sz w:val="21"/>
          <w:szCs w:val="21"/>
        </w:rPr>
        <w:t>视力和视野</w:t>
      </w:r>
    </w:p>
    <w:tbl>
      <w:tblPr>
        <w:tblStyle w:val="11"/>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896"/>
        <w:gridCol w:w="2962"/>
        <w:gridCol w:w="3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2958" w:type="dxa"/>
            <w:gridSpan w:val="2"/>
            <w:vMerge w:val="restart"/>
            <w:vAlign w:val="center"/>
          </w:tcPr>
          <w:p>
            <w:pPr>
              <w:pStyle w:val="14"/>
              <w:spacing w:line="240" w:lineRule="exact"/>
              <w:jc w:val="center"/>
              <w:rPr>
                <w:sz w:val="21"/>
                <w:szCs w:val="21"/>
              </w:rPr>
            </w:pPr>
            <w:r>
              <w:rPr>
                <w:rFonts w:hint="eastAsia"/>
                <w:sz w:val="21"/>
                <w:szCs w:val="21"/>
              </w:rPr>
              <w:t>级别</w:t>
            </w:r>
          </w:p>
        </w:tc>
        <w:tc>
          <w:tcPr>
            <w:tcW w:w="6702" w:type="dxa"/>
            <w:gridSpan w:val="2"/>
            <w:vAlign w:val="top"/>
          </w:tcPr>
          <w:p>
            <w:pPr>
              <w:pStyle w:val="14"/>
              <w:spacing w:line="240" w:lineRule="exact"/>
              <w:jc w:val="center"/>
              <w:rPr>
                <w:sz w:val="21"/>
                <w:szCs w:val="21"/>
              </w:rPr>
            </w:pPr>
            <w:r>
              <w:rPr>
                <w:rFonts w:hint="eastAsia"/>
                <w:sz w:val="21"/>
                <w:szCs w:val="21"/>
              </w:rPr>
              <w:t>低视力及盲目分级标准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2958" w:type="dxa"/>
            <w:gridSpan w:val="2"/>
            <w:vMerge w:val="continue"/>
            <w:vAlign w:val="top"/>
          </w:tcPr>
          <w:p>
            <w:pPr>
              <w:pStyle w:val="14"/>
              <w:spacing w:line="240" w:lineRule="exact"/>
              <w:jc w:val="center"/>
              <w:rPr>
                <w:sz w:val="21"/>
                <w:szCs w:val="21"/>
              </w:rPr>
            </w:pPr>
          </w:p>
        </w:tc>
        <w:tc>
          <w:tcPr>
            <w:tcW w:w="6702" w:type="dxa"/>
            <w:gridSpan w:val="2"/>
            <w:vAlign w:val="top"/>
          </w:tcPr>
          <w:p>
            <w:pPr>
              <w:pStyle w:val="14"/>
              <w:spacing w:line="240" w:lineRule="exact"/>
              <w:jc w:val="center"/>
              <w:rPr>
                <w:sz w:val="21"/>
                <w:szCs w:val="21"/>
              </w:rPr>
            </w:pPr>
            <w:r>
              <w:rPr>
                <w:rFonts w:hint="eastAsia"/>
                <w:sz w:val="21"/>
                <w:szCs w:val="21"/>
              </w:rPr>
              <w:t>最好矫正视力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2958" w:type="dxa"/>
            <w:gridSpan w:val="2"/>
            <w:vMerge w:val="continue"/>
            <w:vAlign w:val="top"/>
          </w:tcPr>
          <w:p>
            <w:pPr>
              <w:pStyle w:val="14"/>
              <w:spacing w:line="240" w:lineRule="exact"/>
              <w:jc w:val="center"/>
              <w:rPr>
                <w:sz w:val="21"/>
                <w:szCs w:val="21"/>
              </w:rPr>
            </w:pPr>
          </w:p>
        </w:tc>
        <w:tc>
          <w:tcPr>
            <w:tcW w:w="2962" w:type="dxa"/>
            <w:vAlign w:val="top"/>
          </w:tcPr>
          <w:p>
            <w:pPr>
              <w:pStyle w:val="14"/>
              <w:spacing w:line="240" w:lineRule="exact"/>
              <w:jc w:val="center"/>
              <w:rPr>
                <w:sz w:val="21"/>
                <w:szCs w:val="21"/>
              </w:rPr>
            </w:pPr>
            <w:r>
              <w:rPr>
                <w:rFonts w:hint="eastAsia"/>
                <w:sz w:val="21"/>
                <w:szCs w:val="21"/>
              </w:rPr>
              <w:t>最好矫正视力低于</w:t>
            </w:r>
          </w:p>
        </w:tc>
        <w:tc>
          <w:tcPr>
            <w:tcW w:w="3740" w:type="dxa"/>
            <w:vAlign w:val="top"/>
          </w:tcPr>
          <w:p>
            <w:pPr>
              <w:pStyle w:val="14"/>
              <w:spacing w:line="240" w:lineRule="exact"/>
              <w:jc w:val="center"/>
              <w:rPr>
                <w:sz w:val="21"/>
                <w:szCs w:val="21"/>
              </w:rPr>
            </w:pPr>
            <w:r>
              <w:rPr>
                <w:rFonts w:hint="eastAsia"/>
                <w:sz w:val="21"/>
                <w:szCs w:val="21"/>
              </w:rPr>
              <w:t>最低矫正视力等于或优于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2062" w:type="dxa"/>
            <w:vMerge w:val="restart"/>
            <w:vAlign w:val="center"/>
          </w:tcPr>
          <w:p>
            <w:pPr>
              <w:pStyle w:val="14"/>
              <w:spacing w:line="240" w:lineRule="exact"/>
              <w:jc w:val="center"/>
              <w:rPr>
                <w:sz w:val="21"/>
                <w:szCs w:val="21"/>
              </w:rPr>
            </w:pPr>
            <w:r>
              <w:rPr>
                <w:rFonts w:hint="eastAsia"/>
                <w:sz w:val="21"/>
                <w:szCs w:val="21"/>
              </w:rPr>
              <w:t>低视力</w:t>
            </w:r>
          </w:p>
        </w:tc>
        <w:tc>
          <w:tcPr>
            <w:tcW w:w="896" w:type="dxa"/>
            <w:vAlign w:val="top"/>
          </w:tcPr>
          <w:p>
            <w:pPr>
              <w:pStyle w:val="14"/>
              <w:spacing w:line="240" w:lineRule="exact"/>
              <w:jc w:val="center"/>
              <w:rPr>
                <w:sz w:val="21"/>
                <w:szCs w:val="21"/>
              </w:rPr>
            </w:pPr>
            <w:r>
              <w:rPr>
                <w:sz w:val="21"/>
                <w:szCs w:val="21"/>
              </w:rPr>
              <w:t>1</w:t>
            </w:r>
          </w:p>
        </w:tc>
        <w:tc>
          <w:tcPr>
            <w:tcW w:w="2962" w:type="dxa"/>
            <w:vAlign w:val="top"/>
          </w:tcPr>
          <w:p>
            <w:pPr>
              <w:pStyle w:val="14"/>
              <w:spacing w:line="240" w:lineRule="exact"/>
              <w:jc w:val="center"/>
              <w:rPr>
                <w:sz w:val="21"/>
                <w:szCs w:val="21"/>
              </w:rPr>
            </w:pPr>
            <w:r>
              <w:rPr>
                <w:sz w:val="21"/>
                <w:szCs w:val="21"/>
              </w:rPr>
              <w:t>0.3</w:t>
            </w:r>
          </w:p>
        </w:tc>
        <w:tc>
          <w:tcPr>
            <w:tcW w:w="3740" w:type="dxa"/>
            <w:vAlign w:val="top"/>
          </w:tcPr>
          <w:p>
            <w:pPr>
              <w:pStyle w:val="14"/>
              <w:spacing w:line="240" w:lineRule="exact"/>
              <w:jc w:val="center"/>
              <w:rPr>
                <w:sz w:val="21"/>
                <w:szCs w:val="21"/>
              </w:rPr>
            </w:pPr>
            <w:r>
              <w:rPr>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2062" w:type="dxa"/>
            <w:vMerge w:val="continue"/>
            <w:vAlign w:val="top"/>
          </w:tcPr>
          <w:p>
            <w:pPr>
              <w:pStyle w:val="14"/>
              <w:spacing w:line="240" w:lineRule="exact"/>
              <w:jc w:val="center"/>
              <w:rPr>
                <w:sz w:val="21"/>
                <w:szCs w:val="21"/>
              </w:rPr>
            </w:pPr>
          </w:p>
        </w:tc>
        <w:tc>
          <w:tcPr>
            <w:tcW w:w="896" w:type="dxa"/>
            <w:vAlign w:val="top"/>
          </w:tcPr>
          <w:p>
            <w:pPr>
              <w:pStyle w:val="14"/>
              <w:spacing w:line="240" w:lineRule="exact"/>
              <w:jc w:val="center"/>
              <w:rPr>
                <w:sz w:val="21"/>
                <w:szCs w:val="21"/>
              </w:rPr>
            </w:pPr>
            <w:r>
              <w:rPr>
                <w:sz w:val="21"/>
                <w:szCs w:val="21"/>
              </w:rPr>
              <w:t>2</w:t>
            </w:r>
          </w:p>
        </w:tc>
        <w:tc>
          <w:tcPr>
            <w:tcW w:w="2962" w:type="dxa"/>
            <w:vAlign w:val="top"/>
          </w:tcPr>
          <w:p>
            <w:pPr>
              <w:pStyle w:val="14"/>
              <w:spacing w:line="240" w:lineRule="exact"/>
              <w:jc w:val="center"/>
              <w:rPr>
                <w:sz w:val="21"/>
                <w:szCs w:val="21"/>
              </w:rPr>
            </w:pPr>
            <w:r>
              <w:rPr>
                <w:sz w:val="21"/>
                <w:szCs w:val="21"/>
              </w:rPr>
              <w:t>0.1</w:t>
            </w:r>
          </w:p>
        </w:tc>
        <w:tc>
          <w:tcPr>
            <w:tcW w:w="3740" w:type="dxa"/>
            <w:vAlign w:val="top"/>
          </w:tcPr>
          <w:p>
            <w:pPr>
              <w:pStyle w:val="14"/>
              <w:spacing w:line="240" w:lineRule="exact"/>
              <w:jc w:val="center"/>
              <w:rPr>
                <w:sz w:val="21"/>
                <w:szCs w:val="21"/>
              </w:rPr>
            </w:pPr>
            <w:r>
              <w:rPr>
                <w:sz w:val="21"/>
                <w:szCs w:val="21"/>
              </w:rPr>
              <w:t>0.05（三米指数）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2062" w:type="dxa"/>
            <w:vMerge w:val="restart"/>
            <w:vAlign w:val="center"/>
          </w:tcPr>
          <w:p>
            <w:pPr>
              <w:pStyle w:val="14"/>
              <w:spacing w:line="240" w:lineRule="exact"/>
              <w:jc w:val="center"/>
              <w:rPr>
                <w:sz w:val="21"/>
                <w:szCs w:val="21"/>
              </w:rPr>
            </w:pPr>
            <w:r>
              <w:rPr>
                <w:rFonts w:hint="eastAsia"/>
                <w:sz w:val="21"/>
                <w:szCs w:val="21"/>
              </w:rPr>
              <w:t>盲目</w:t>
            </w:r>
          </w:p>
        </w:tc>
        <w:tc>
          <w:tcPr>
            <w:tcW w:w="896" w:type="dxa"/>
            <w:vAlign w:val="top"/>
          </w:tcPr>
          <w:p>
            <w:pPr>
              <w:pStyle w:val="14"/>
              <w:spacing w:line="240" w:lineRule="exact"/>
              <w:jc w:val="center"/>
              <w:rPr>
                <w:sz w:val="21"/>
                <w:szCs w:val="21"/>
              </w:rPr>
            </w:pPr>
            <w:r>
              <w:rPr>
                <w:sz w:val="21"/>
                <w:szCs w:val="21"/>
              </w:rPr>
              <w:t>3</w:t>
            </w:r>
          </w:p>
        </w:tc>
        <w:tc>
          <w:tcPr>
            <w:tcW w:w="2962" w:type="dxa"/>
            <w:vAlign w:val="top"/>
          </w:tcPr>
          <w:p>
            <w:pPr>
              <w:pStyle w:val="14"/>
              <w:spacing w:line="240" w:lineRule="exact"/>
              <w:jc w:val="center"/>
              <w:rPr>
                <w:sz w:val="21"/>
                <w:szCs w:val="21"/>
              </w:rPr>
            </w:pPr>
            <w:r>
              <w:rPr>
                <w:sz w:val="21"/>
                <w:szCs w:val="21"/>
              </w:rPr>
              <w:t>0.05</w:t>
            </w:r>
          </w:p>
        </w:tc>
        <w:tc>
          <w:tcPr>
            <w:tcW w:w="3740" w:type="dxa"/>
            <w:vAlign w:val="top"/>
          </w:tcPr>
          <w:p>
            <w:pPr>
              <w:pStyle w:val="14"/>
              <w:spacing w:line="240" w:lineRule="exact"/>
              <w:jc w:val="center"/>
              <w:rPr>
                <w:sz w:val="21"/>
                <w:szCs w:val="21"/>
              </w:rPr>
            </w:pPr>
            <w:r>
              <w:rPr>
                <w:sz w:val="21"/>
                <w:szCs w:val="21"/>
              </w:rPr>
              <w:t>0.02（一米指数）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2062" w:type="dxa"/>
            <w:vMerge w:val="continue"/>
            <w:vAlign w:val="top"/>
          </w:tcPr>
          <w:p>
            <w:pPr>
              <w:pStyle w:val="14"/>
              <w:spacing w:line="240" w:lineRule="exact"/>
              <w:jc w:val="center"/>
              <w:rPr>
                <w:sz w:val="21"/>
                <w:szCs w:val="21"/>
              </w:rPr>
            </w:pPr>
          </w:p>
        </w:tc>
        <w:tc>
          <w:tcPr>
            <w:tcW w:w="896" w:type="dxa"/>
            <w:vAlign w:val="top"/>
          </w:tcPr>
          <w:p>
            <w:pPr>
              <w:pStyle w:val="14"/>
              <w:spacing w:line="240" w:lineRule="exact"/>
              <w:jc w:val="center"/>
              <w:rPr>
                <w:sz w:val="21"/>
                <w:szCs w:val="21"/>
              </w:rPr>
            </w:pPr>
            <w:r>
              <w:rPr>
                <w:sz w:val="21"/>
                <w:szCs w:val="21"/>
              </w:rPr>
              <w:t>4</w:t>
            </w:r>
          </w:p>
        </w:tc>
        <w:tc>
          <w:tcPr>
            <w:tcW w:w="2962" w:type="dxa"/>
            <w:vAlign w:val="top"/>
          </w:tcPr>
          <w:p>
            <w:pPr>
              <w:pStyle w:val="14"/>
              <w:spacing w:line="240" w:lineRule="exact"/>
              <w:jc w:val="center"/>
              <w:rPr>
                <w:sz w:val="21"/>
                <w:szCs w:val="21"/>
              </w:rPr>
            </w:pPr>
            <w:r>
              <w:rPr>
                <w:sz w:val="21"/>
                <w:szCs w:val="21"/>
              </w:rPr>
              <w:t>0.02</w:t>
            </w:r>
          </w:p>
        </w:tc>
        <w:tc>
          <w:tcPr>
            <w:tcW w:w="3740" w:type="dxa"/>
            <w:vAlign w:val="top"/>
          </w:tcPr>
          <w:p>
            <w:pPr>
              <w:pStyle w:val="14"/>
              <w:spacing w:line="240" w:lineRule="exact"/>
              <w:jc w:val="center"/>
              <w:rPr>
                <w:sz w:val="21"/>
                <w:szCs w:val="21"/>
              </w:rPr>
            </w:pPr>
            <w:r>
              <w:rPr>
                <w:rFonts w:hint="eastAsia"/>
                <w:sz w:val="21"/>
                <w:szCs w:val="21"/>
              </w:rPr>
              <w:t>光感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2062" w:type="dxa"/>
            <w:vMerge w:val="continue"/>
            <w:vAlign w:val="top"/>
          </w:tcPr>
          <w:p>
            <w:pPr>
              <w:pStyle w:val="14"/>
              <w:spacing w:line="240" w:lineRule="exact"/>
              <w:jc w:val="center"/>
              <w:rPr>
                <w:sz w:val="21"/>
                <w:szCs w:val="21"/>
              </w:rPr>
            </w:pPr>
          </w:p>
        </w:tc>
        <w:tc>
          <w:tcPr>
            <w:tcW w:w="896" w:type="dxa"/>
            <w:vAlign w:val="top"/>
          </w:tcPr>
          <w:p>
            <w:pPr>
              <w:pStyle w:val="14"/>
              <w:spacing w:line="240" w:lineRule="exact"/>
              <w:jc w:val="center"/>
              <w:rPr>
                <w:sz w:val="21"/>
                <w:szCs w:val="21"/>
              </w:rPr>
            </w:pPr>
            <w:r>
              <w:rPr>
                <w:sz w:val="21"/>
                <w:szCs w:val="21"/>
              </w:rPr>
              <w:t>5</w:t>
            </w:r>
          </w:p>
        </w:tc>
        <w:tc>
          <w:tcPr>
            <w:tcW w:w="6702" w:type="dxa"/>
            <w:gridSpan w:val="2"/>
            <w:vAlign w:val="top"/>
          </w:tcPr>
          <w:p>
            <w:pPr>
              <w:pStyle w:val="14"/>
              <w:spacing w:line="240" w:lineRule="exact"/>
              <w:jc w:val="center"/>
              <w:rPr>
                <w:sz w:val="21"/>
                <w:szCs w:val="21"/>
              </w:rPr>
            </w:pPr>
            <w:r>
              <w:rPr>
                <w:rFonts w:hint="eastAsia"/>
                <w:sz w:val="21"/>
                <w:szCs w:val="21"/>
              </w:rPr>
              <w:t>无光感</w:t>
            </w:r>
          </w:p>
        </w:tc>
      </w:tr>
    </w:tbl>
    <w:p>
      <w:pPr>
        <w:pStyle w:val="14"/>
        <w:ind w:firstLine="420" w:firstLineChars="200"/>
        <w:rPr>
          <w:sz w:val="21"/>
          <w:szCs w:val="21"/>
        </w:rPr>
      </w:pPr>
      <w:r>
        <w:rPr>
          <w:rFonts w:hint="eastAsia"/>
          <w:sz w:val="21"/>
          <w:szCs w:val="21"/>
        </w:rPr>
        <w:t>如果中心视力好而视野缩小，以中央注视点为中心，视野直径小于</w:t>
      </w:r>
      <w:r>
        <w:rPr>
          <w:sz w:val="21"/>
          <w:szCs w:val="21"/>
        </w:rPr>
        <w:t>20°而大于10°者为</w:t>
      </w:r>
      <w:r>
        <w:rPr>
          <w:rFonts w:hint="eastAsia"/>
          <w:sz w:val="21"/>
          <w:szCs w:val="21"/>
        </w:rPr>
        <w:t>盲目</w:t>
      </w:r>
      <w:r>
        <w:rPr>
          <w:sz w:val="21"/>
          <w:szCs w:val="21"/>
        </w:rPr>
        <w:t>3级；如直径小于10°者为</w:t>
      </w:r>
      <w:r>
        <w:rPr>
          <w:rFonts w:hint="eastAsia"/>
          <w:sz w:val="21"/>
          <w:szCs w:val="21"/>
        </w:rPr>
        <w:t>盲目</w:t>
      </w:r>
      <w:r>
        <w:rPr>
          <w:sz w:val="21"/>
          <w:szCs w:val="21"/>
        </w:rPr>
        <w:t>4级。</w:t>
      </w:r>
    </w:p>
    <w:p>
      <w:pPr>
        <w:pStyle w:val="14"/>
        <w:ind w:firstLine="360"/>
        <w:rPr>
          <w:sz w:val="21"/>
          <w:szCs w:val="21"/>
        </w:rPr>
      </w:pPr>
      <w:r>
        <w:rPr>
          <w:rFonts w:hint="eastAsia"/>
          <w:sz w:val="21"/>
          <w:szCs w:val="21"/>
        </w:rPr>
        <w:t>本标准视力以矫正视力为准，经治疗而无法恢复者。</w:t>
      </w:r>
    </w:p>
    <w:p>
      <w:pPr>
        <w:pStyle w:val="14"/>
        <w:ind w:firstLine="420" w:firstLineChars="200"/>
        <w:rPr>
          <w:sz w:val="21"/>
          <w:szCs w:val="21"/>
        </w:rPr>
      </w:pPr>
      <w:r>
        <w:rPr>
          <w:sz w:val="21"/>
          <w:szCs w:val="21"/>
        </w:rPr>
        <w:fldChar w:fldCharType="begin"/>
      </w:r>
      <w:r>
        <w:rPr>
          <w:sz w:val="21"/>
          <w:szCs w:val="21"/>
        </w:rPr>
        <w:instrText xml:space="preserve"> eq \o\ac(○,2)</w:instrText>
      </w:r>
      <w:r>
        <w:rPr>
          <w:sz w:val="21"/>
          <w:szCs w:val="21"/>
        </w:rPr>
        <w:fldChar w:fldCharType="end"/>
      </w:r>
      <w:r>
        <w:rPr>
          <w:rFonts w:hint="eastAsia"/>
          <w:sz w:val="21"/>
          <w:szCs w:val="21"/>
        </w:rPr>
        <w:t>视野缺损指因损伤导致眼球注视前方而不转动所能看到的空间范围缩窄，以致难以从事正常工作、学习或其他活动。</w:t>
      </w:r>
    </w:p>
    <w:p>
      <w:pPr>
        <w:spacing w:line="240" w:lineRule="exact"/>
        <w:ind w:firstLine="360" w:firstLineChars="200"/>
        <w:contextualSpacing/>
        <w:rPr>
          <w:rFonts w:hint="eastAsia" w:ascii="宋体" w:hAnsi="宋体" w:eastAsia="宋体"/>
          <w:sz w:val="18"/>
          <w:szCs w:val="21"/>
        </w:rPr>
      </w:pPr>
    </w:p>
    <w:p>
      <w:pPr>
        <w:pStyle w:val="4"/>
        <w:numPr>
          <w:ilvl w:val="1"/>
          <w:numId w:val="1"/>
        </w:numPr>
        <w:ind w:left="0" w:firstLine="0"/>
        <w:contextualSpacing/>
        <w:rPr>
          <w:rFonts w:hint="eastAsia" w:ascii="宋体" w:hAnsi="宋体" w:eastAsia="宋体"/>
          <w:sz w:val="18"/>
          <w:szCs w:val="21"/>
        </w:rPr>
      </w:pPr>
      <w:bookmarkStart w:id="9" w:name="_Toc356463470"/>
      <w:r>
        <w:rPr>
          <w:rFonts w:hint="eastAsia" w:ascii="宋体" w:hAnsi="宋体" w:eastAsia="宋体"/>
          <w:sz w:val="18"/>
          <w:szCs w:val="21"/>
        </w:rPr>
        <w:t>眼球的晶状体结构损伤</w:t>
      </w:r>
      <w:bookmarkEnd w:id="9"/>
      <w:r>
        <w:rPr>
          <w:rFonts w:hint="eastAsia" w:ascii="宋体" w:hAnsi="宋体" w:eastAsia="宋体"/>
          <w:sz w:val="18"/>
          <w:szCs w:val="21"/>
        </w:rPr>
        <w:t xml:space="preserve">  </w:t>
      </w:r>
    </w:p>
    <w:tbl>
      <w:tblPr>
        <w:tblStyle w:val="11"/>
        <w:tblW w:w="95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5"/>
        <w:gridCol w:w="1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2" w:hRule="atLeast"/>
          <w:jc w:val="center"/>
        </w:trPr>
        <w:tc>
          <w:tcPr>
            <w:tcW w:w="8495"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外伤性白内障</w:t>
            </w:r>
          </w:p>
        </w:tc>
        <w:tc>
          <w:tcPr>
            <w:tcW w:w="1085" w:type="dxa"/>
            <w:vAlign w:val="top"/>
          </w:tcPr>
          <w:p>
            <w:pPr>
              <w:pStyle w:val="14"/>
              <w:ind w:left="0" w:leftChars="0" w:right="0" w:rightChars="0" w:firstLine="0" w:firstLineChars="0"/>
              <w:jc w:val="center"/>
              <w:rPr>
                <w:rFonts w:hint="eastAsia" w:ascii="宋体" w:hAnsi="宋体" w:eastAsia="宋体" w:cs="Times New Roman"/>
                <w:kern w:val="2"/>
                <w:sz w:val="18"/>
                <w:szCs w:val="21"/>
              </w:rPr>
            </w:pPr>
            <w:r>
              <w:rPr>
                <w:rFonts w:hint="eastAsia" w:ascii="宋体" w:hAnsi="宋体" w:eastAsia="宋体" w:cs="Times New Roman"/>
                <w:kern w:val="2"/>
                <w:sz w:val="18"/>
                <w:szCs w:val="21"/>
              </w:rPr>
              <w:t>10级</w:t>
            </w:r>
          </w:p>
        </w:tc>
      </w:tr>
    </w:tbl>
    <w:p>
      <w:pPr>
        <w:pStyle w:val="14"/>
        <w:rPr>
          <w:rFonts w:hint="eastAsia" w:ascii="宋体" w:hAnsi="宋体" w:eastAsia="宋体"/>
          <w:sz w:val="18"/>
          <w:szCs w:val="21"/>
        </w:rPr>
      </w:pPr>
      <w:r>
        <w:rPr>
          <w:rFonts w:hint="eastAsia" w:ascii="宋体" w:hAnsi="宋体" w:eastAsia="宋体"/>
          <w:sz w:val="18"/>
          <w:szCs w:val="21"/>
        </w:rPr>
        <w:t>注：外伤性白内障：凡未做手术者，均适用本条；外伤性白内障术后遗留相关视功能障碍，参照有关条款评定伤残等级。</w:t>
      </w:r>
    </w:p>
    <w:p>
      <w:pPr>
        <w:spacing w:line="240" w:lineRule="exact"/>
        <w:ind w:firstLine="360" w:firstLineChars="200"/>
        <w:contextualSpacing/>
        <w:rPr>
          <w:rFonts w:hint="eastAsia" w:ascii="宋体" w:hAnsi="宋体" w:eastAsia="宋体"/>
          <w:sz w:val="18"/>
          <w:szCs w:val="21"/>
        </w:rPr>
      </w:pPr>
    </w:p>
    <w:p>
      <w:pPr>
        <w:pStyle w:val="4"/>
        <w:numPr>
          <w:ilvl w:val="1"/>
          <w:numId w:val="1"/>
        </w:numPr>
        <w:ind w:left="0" w:firstLine="0"/>
        <w:contextualSpacing/>
        <w:rPr>
          <w:rFonts w:hint="eastAsia" w:ascii="宋体" w:hAnsi="宋体" w:eastAsia="宋体"/>
          <w:sz w:val="18"/>
          <w:szCs w:val="21"/>
        </w:rPr>
      </w:pPr>
      <w:bookmarkStart w:id="10" w:name="_Toc356463471"/>
      <w:r>
        <w:rPr>
          <w:rFonts w:hint="eastAsia" w:ascii="宋体" w:hAnsi="宋体" w:eastAsia="宋体"/>
          <w:sz w:val="18"/>
          <w:szCs w:val="21"/>
        </w:rPr>
        <w:t>眼睑结构损伤</w:t>
      </w:r>
      <w:bookmarkEnd w:id="10"/>
    </w:p>
    <w:tbl>
      <w:tblPr>
        <w:tblStyle w:val="11"/>
        <w:tblW w:w="95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4"/>
        <w:gridCol w:w="1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 w:hRule="atLeast"/>
          <w:jc w:val="center"/>
        </w:trPr>
        <w:tc>
          <w:tcPr>
            <w:tcW w:w="8494"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双侧眼睑显著缺损</w:t>
            </w:r>
          </w:p>
        </w:tc>
        <w:tc>
          <w:tcPr>
            <w:tcW w:w="1086"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 w:hRule="atLeast"/>
          <w:jc w:val="center"/>
        </w:trPr>
        <w:tc>
          <w:tcPr>
            <w:tcW w:w="8494"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双侧眼睑外翻</w:t>
            </w:r>
          </w:p>
        </w:tc>
        <w:tc>
          <w:tcPr>
            <w:tcW w:w="1086"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 w:hRule="atLeast"/>
          <w:jc w:val="center"/>
        </w:trPr>
        <w:tc>
          <w:tcPr>
            <w:tcW w:w="8494"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双侧眼睑闭合不全</w:t>
            </w:r>
          </w:p>
        </w:tc>
        <w:tc>
          <w:tcPr>
            <w:tcW w:w="1086"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 w:hRule="atLeast"/>
          <w:jc w:val="center"/>
        </w:trPr>
        <w:tc>
          <w:tcPr>
            <w:tcW w:w="8494"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一侧眼睑显著缺损</w:t>
            </w:r>
          </w:p>
        </w:tc>
        <w:tc>
          <w:tcPr>
            <w:tcW w:w="1086"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 w:hRule="atLeast"/>
          <w:jc w:val="center"/>
        </w:trPr>
        <w:tc>
          <w:tcPr>
            <w:tcW w:w="8494"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一侧眼睑外翻</w:t>
            </w:r>
          </w:p>
        </w:tc>
        <w:tc>
          <w:tcPr>
            <w:tcW w:w="1086"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1" w:hRule="atLeast"/>
          <w:jc w:val="center"/>
        </w:trPr>
        <w:tc>
          <w:tcPr>
            <w:tcW w:w="8494"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一侧眼睑闭合不全</w:t>
            </w:r>
          </w:p>
        </w:tc>
        <w:tc>
          <w:tcPr>
            <w:tcW w:w="1086"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bl>
    <w:p>
      <w:pPr>
        <w:pStyle w:val="14"/>
        <w:rPr>
          <w:rFonts w:hint="eastAsia" w:ascii="宋体" w:hAnsi="宋体" w:eastAsia="宋体"/>
          <w:sz w:val="18"/>
          <w:szCs w:val="21"/>
        </w:rPr>
      </w:pPr>
      <w:r>
        <w:rPr>
          <w:rFonts w:hint="eastAsia" w:ascii="宋体" w:hAnsi="宋体" w:eastAsia="宋体"/>
          <w:sz w:val="18"/>
          <w:szCs w:val="21"/>
        </w:rPr>
        <w:t>注：眼睑显著缺损指闭眼时眼睑不能完全覆盖角膜。</w:t>
      </w:r>
    </w:p>
    <w:p>
      <w:pPr>
        <w:spacing w:line="240" w:lineRule="exact"/>
        <w:ind w:firstLine="360" w:firstLineChars="200"/>
        <w:contextualSpacing/>
        <w:rPr>
          <w:rFonts w:hint="eastAsia" w:ascii="宋体" w:hAnsi="宋体" w:eastAsia="宋体"/>
          <w:sz w:val="18"/>
          <w:szCs w:val="21"/>
        </w:rPr>
      </w:pPr>
    </w:p>
    <w:p>
      <w:pPr>
        <w:pStyle w:val="4"/>
        <w:numPr>
          <w:ilvl w:val="1"/>
          <w:numId w:val="1"/>
        </w:numPr>
        <w:ind w:left="0" w:firstLine="0"/>
        <w:contextualSpacing/>
        <w:rPr>
          <w:rFonts w:hint="eastAsia" w:ascii="宋体" w:hAnsi="宋体" w:eastAsia="宋体"/>
          <w:sz w:val="18"/>
          <w:szCs w:val="21"/>
        </w:rPr>
      </w:pPr>
      <w:bookmarkStart w:id="11" w:name="_Toc356463472"/>
      <w:r>
        <w:rPr>
          <w:rFonts w:hint="eastAsia" w:ascii="宋体" w:hAnsi="宋体" w:eastAsia="宋体"/>
          <w:sz w:val="18"/>
          <w:szCs w:val="21"/>
        </w:rPr>
        <w:t>耳廓结构损伤或听功能障碍</w:t>
      </w:r>
      <w:bookmarkEnd w:id="11"/>
    </w:p>
    <w:p>
      <w:pPr>
        <w:ind w:firstLine="360" w:firstLineChars="200"/>
        <w:rPr>
          <w:rFonts w:hint="eastAsia" w:ascii="宋体" w:hAnsi="宋体" w:eastAsia="宋体"/>
          <w:sz w:val="18"/>
          <w:szCs w:val="21"/>
        </w:rPr>
      </w:pPr>
      <w:r>
        <w:rPr>
          <w:rFonts w:hint="eastAsia" w:ascii="宋体" w:hAnsi="宋体" w:eastAsia="宋体"/>
          <w:sz w:val="18"/>
          <w:szCs w:val="21"/>
        </w:rPr>
        <w:t>听功能是指与感受存在的声音和辨别方位、音调、音量和音质有关的感觉功能。</w:t>
      </w:r>
    </w:p>
    <w:tbl>
      <w:tblPr>
        <w:tblStyle w:val="11"/>
        <w:tblW w:w="95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21"/>
        <w:gridCol w:w="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8721"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双耳听力损失大于等于91dB，且双侧耳廓缺失</w:t>
            </w:r>
          </w:p>
        </w:tc>
        <w:tc>
          <w:tcPr>
            <w:tcW w:w="85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2级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8721"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双耳听力损失大于等于91dB，且一侧耳廓缺失</w:t>
            </w:r>
          </w:p>
        </w:tc>
        <w:tc>
          <w:tcPr>
            <w:tcW w:w="85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8721"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一耳听力损失大于等于91dB，另一耳听力损失大于等于71dB，且一侧耳廓缺失，另一侧耳廓缺失大于等于50%</w:t>
            </w:r>
          </w:p>
        </w:tc>
        <w:tc>
          <w:tcPr>
            <w:tcW w:w="85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8721"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双耳听力损失大于等于71dB，且双侧耳廓缺失</w:t>
            </w:r>
          </w:p>
        </w:tc>
        <w:tc>
          <w:tcPr>
            <w:tcW w:w="85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8721"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双耳听力损失大于等于71dB，且一侧耳廓缺失</w:t>
            </w:r>
          </w:p>
        </w:tc>
        <w:tc>
          <w:tcPr>
            <w:tcW w:w="85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4级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8721"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双耳听力损失大于等于56dB，且双侧耳廓缺失</w:t>
            </w:r>
          </w:p>
        </w:tc>
        <w:tc>
          <w:tcPr>
            <w:tcW w:w="85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4级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8721"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一耳听力损失大于等于91dB，另一耳听力损失大于等于71dB，且一侧耳廓缺失大于等于50%</w:t>
            </w:r>
          </w:p>
        </w:tc>
        <w:tc>
          <w:tcPr>
            <w:tcW w:w="85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4级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8721"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双耳听力损失大于等于71dB，且一侧耳廓缺失大于等于50%</w:t>
            </w:r>
          </w:p>
        </w:tc>
        <w:tc>
          <w:tcPr>
            <w:tcW w:w="85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8721"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双耳听力损失大于等于56dB，且一侧耳廓缺失</w:t>
            </w:r>
          </w:p>
        </w:tc>
        <w:tc>
          <w:tcPr>
            <w:tcW w:w="85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8721"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双侧耳廓缺失</w:t>
            </w:r>
          </w:p>
        </w:tc>
        <w:tc>
          <w:tcPr>
            <w:tcW w:w="85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8721"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一侧耳廓缺失，且另一侧耳廓缺失大于等于50%</w:t>
            </w:r>
          </w:p>
        </w:tc>
        <w:tc>
          <w:tcPr>
            <w:tcW w:w="85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6级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jc w:val="center"/>
        </w:trPr>
        <w:tc>
          <w:tcPr>
            <w:tcW w:w="8721"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一侧耳廓缺失</w:t>
            </w:r>
          </w:p>
        </w:tc>
        <w:tc>
          <w:tcPr>
            <w:tcW w:w="85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jc w:val="center"/>
        </w:trPr>
        <w:tc>
          <w:tcPr>
            <w:tcW w:w="8721"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一侧耳廓缺失大于等于50%</w:t>
            </w:r>
          </w:p>
        </w:tc>
        <w:tc>
          <w:tcPr>
            <w:tcW w:w="85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bl>
    <w:p>
      <w:pPr>
        <w:spacing w:line="240" w:lineRule="exact"/>
        <w:ind w:firstLine="360" w:firstLineChars="200"/>
        <w:contextualSpacing/>
        <w:rPr>
          <w:rFonts w:hint="eastAsia" w:ascii="宋体" w:hAnsi="宋体" w:eastAsia="宋体"/>
          <w:sz w:val="18"/>
          <w:szCs w:val="21"/>
        </w:rPr>
      </w:pPr>
    </w:p>
    <w:p>
      <w:pPr>
        <w:pStyle w:val="4"/>
        <w:numPr>
          <w:ilvl w:val="1"/>
          <w:numId w:val="1"/>
        </w:numPr>
        <w:ind w:left="0" w:firstLine="0"/>
        <w:contextualSpacing/>
        <w:rPr>
          <w:rFonts w:hint="eastAsia" w:ascii="宋体" w:hAnsi="宋体" w:eastAsia="宋体"/>
          <w:sz w:val="18"/>
          <w:szCs w:val="21"/>
        </w:rPr>
      </w:pPr>
      <w:bookmarkStart w:id="12" w:name="_Toc356463473"/>
      <w:r>
        <w:rPr>
          <w:rFonts w:hint="eastAsia" w:ascii="宋体" w:hAnsi="宋体" w:eastAsia="宋体"/>
          <w:sz w:val="18"/>
          <w:szCs w:val="21"/>
        </w:rPr>
        <w:t>听功能障碍</w:t>
      </w:r>
      <w:bookmarkEnd w:id="12"/>
    </w:p>
    <w:tbl>
      <w:tblPr>
        <w:tblStyle w:val="11"/>
        <w:tblW w:w="95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42"/>
        <w:gridCol w:w="1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jc w:val="center"/>
        </w:trPr>
        <w:tc>
          <w:tcPr>
            <w:tcW w:w="8442"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双耳听力损失大于等于91dB</w:t>
            </w:r>
          </w:p>
        </w:tc>
        <w:tc>
          <w:tcPr>
            <w:tcW w:w="107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4级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jc w:val="center"/>
        </w:trPr>
        <w:tc>
          <w:tcPr>
            <w:tcW w:w="8442"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双耳听力损失大于等于81dB</w:t>
            </w:r>
          </w:p>
        </w:tc>
        <w:tc>
          <w:tcPr>
            <w:tcW w:w="107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jc w:val="center"/>
        </w:trPr>
        <w:tc>
          <w:tcPr>
            <w:tcW w:w="8442"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一耳听力损失大于等于91dB，且另一耳听力损失大于等于71dB</w:t>
            </w:r>
          </w:p>
        </w:tc>
        <w:tc>
          <w:tcPr>
            <w:tcW w:w="107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jc w:val="center"/>
        </w:trPr>
        <w:tc>
          <w:tcPr>
            <w:tcW w:w="8442"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双耳听力损失大于等于71dB</w:t>
            </w:r>
          </w:p>
        </w:tc>
        <w:tc>
          <w:tcPr>
            <w:tcW w:w="107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6级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jc w:val="center"/>
        </w:trPr>
        <w:tc>
          <w:tcPr>
            <w:tcW w:w="8442"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一耳听力损失大于等于91dB，且另一耳听力损失大于等于56dB</w:t>
            </w:r>
          </w:p>
        </w:tc>
        <w:tc>
          <w:tcPr>
            <w:tcW w:w="107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6级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jc w:val="center"/>
        </w:trPr>
        <w:tc>
          <w:tcPr>
            <w:tcW w:w="8442"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一耳听力损失大于等于91dB，且另一耳听力损失大于等于41dB</w:t>
            </w:r>
          </w:p>
        </w:tc>
        <w:tc>
          <w:tcPr>
            <w:tcW w:w="107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jc w:val="center"/>
        </w:trPr>
        <w:tc>
          <w:tcPr>
            <w:tcW w:w="8442"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一耳听力损失大于等于71dB，且另一耳听力损失大于等于56dB</w:t>
            </w:r>
          </w:p>
        </w:tc>
        <w:tc>
          <w:tcPr>
            <w:tcW w:w="107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jc w:val="center"/>
        </w:trPr>
        <w:tc>
          <w:tcPr>
            <w:tcW w:w="8442"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一耳听力损失大于等于71dB，且另一耳听力损失大于等于41dB</w:t>
            </w:r>
          </w:p>
        </w:tc>
        <w:tc>
          <w:tcPr>
            <w:tcW w:w="107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jc w:val="center"/>
        </w:trPr>
        <w:tc>
          <w:tcPr>
            <w:tcW w:w="8442"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一耳听力损失大于等于91dB</w:t>
            </w:r>
          </w:p>
        </w:tc>
        <w:tc>
          <w:tcPr>
            <w:tcW w:w="107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jc w:val="center"/>
        </w:trPr>
        <w:tc>
          <w:tcPr>
            <w:tcW w:w="8442"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 xml:space="preserve">一耳听力损失大于等于56dB，且另一耳听力损失大于等于41dB </w:t>
            </w:r>
          </w:p>
        </w:tc>
        <w:tc>
          <w:tcPr>
            <w:tcW w:w="107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jc w:val="center"/>
        </w:trPr>
        <w:tc>
          <w:tcPr>
            <w:tcW w:w="8442"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一耳听力损失大于等于71dB</w:t>
            </w:r>
          </w:p>
        </w:tc>
        <w:tc>
          <w:tcPr>
            <w:tcW w:w="107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8" w:hRule="atLeast"/>
          <w:jc w:val="center"/>
        </w:trPr>
        <w:tc>
          <w:tcPr>
            <w:tcW w:w="8442"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双耳听力损失大于等于26dB</w:t>
            </w:r>
          </w:p>
        </w:tc>
        <w:tc>
          <w:tcPr>
            <w:tcW w:w="107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6" w:hRule="atLeast"/>
          <w:jc w:val="center"/>
        </w:trPr>
        <w:tc>
          <w:tcPr>
            <w:tcW w:w="8442"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一耳听力损失大于等于56dB</w:t>
            </w:r>
          </w:p>
        </w:tc>
        <w:tc>
          <w:tcPr>
            <w:tcW w:w="107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bl>
    <w:p>
      <w:pPr>
        <w:spacing w:line="240" w:lineRule="exact"/>
        <w:ind w:firstLine="360" w:firstLineChars="200"/>
        <w:contextualSpacing/>
        <w:rPr>
          <w:rFonts w:hint="eastAsia" w:ascii="宋体" w:hAnsi="宋体" w:eastAsia="宋体"/>
          <w:sz w:val="18"/>
          <w:szCs w:val="21"/>
        </w:rPr>
      </w:pPr>
    </w:p>
    <w:p>
      <w:pPr>
        <w:pStyle w:val="3"/>
        <w:numPr>
          <w:ilvl w:val="0"/>
          <w:numId w:val="1"/>
        </w:numPr>
        <w:contextualSpacing/>
        <w:rPr>
          <w:rFonts w:hint="eastAsia" w:ascii="宋体" w:hAnsi="宋体" w:eastAsia="宋体"/>
          <w:sz w:val="18"/>
          <w:szCs w:val="21"/>
        </w:rPr>
      </w:pPr>
      <w:bookmarkStart w:id="13" w:name="_Toc356463474"/>
      <w:r>
        <w:rPr>
          <w:rFonts w:hint="eastAsia" w:ascii="宋体" w:hAnsi="宋体" w:eastAsia="宋体"/>
          <w:sz w:val="18"/>
          <w:szCs w:val="21"/>
        </w:rPr>
        <w:t>发声和言语的结构和功能</w:t>
      </w:r>
      <w:bookmarkEnd w:id="13"/>
    </w:p>
    <w:p>
      <w:pPr>
        <w:pStyle w:val="4"/>
        <w:numPr>
          <w:ilvl w:val="1"/>
          <w:numId w:val="1"/>
        </w:numPr>
        <w:ind w:left="0" w:firstLine="0"/>
        <w:contextualSpacing/>
        <w:rPr>
          <w:rFonts w:hint="eastAsia" w:ascii="宋体" w:hAnsi="宋体" w:eastAsia="宋体"/>
          <w:sz w:val="18"/>
          <w:szCs w:val="21"/>
        </w:rPr>
      </w:pPr>
      <w:bookmarkStart w:id="14" w:name="_Toc356463475"/>
      <w:r>
        <w:rPr>
          <w:rFonts w:hint="eastAsia" w:ascii="宋体" w:hAnsi="宋体" w:eastAsia="宋体"/>
          <w:sz w:val="18"/>
          <w:szCs w:val="21"/>
        </w:rPr>
        <w:t>鼻的结构损伤</w:t>
      </w:r>
      <w:bookmarkEnd w:id="14"/>
    </w:p>
    <w:p>
      <w:pPr>
        <w:spacing w:line="240" w:lineRule="exact"/>
        <w:ind w:firstLine="360" w:firstLineChars="200"/>
        <w:contextualSpacing/>
        <w:rPr>
          <w:rFonts w:hint="eastAsia" w:ascii="宋体" w:hAnsi="宋体" w:eastAsia="宋体"/>
          <w:sz w:val="18"/>
          <w:szCs w:val="21"/>
        </w:rPr>
      </w:pPr>
    </w:p>
    <w:tbl>
      <w:tblPr>
        <w:tblStyle w:val="11"/>
        <w:tblW w:w="9580"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8499"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外鼻部完全缺失</w:t>
            </w:r>
          </w:p>
        </w:tc>
        <w:tc>
          <w:tcPr>
            <w:tcW w:w="1081"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8499"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外鼻部大部分缺损</w:t>
            </w:r>
          </w:p>
        </w:tc>
        <w:tc>
          <w:tcPr>
            <w:tcW w:w="1081"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8499"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鼻尖及一侧鼻翼缺损</w:t>
            </w:r>
          </w:p>
        </w:tc>
        <w:tc>
          <w:tcPr>
            <w:tcW w:w="1081"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8499"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双侧鼻腔或鼻咽部闭锁</w:t>
            </w:r>
          </w:p>
        </w:tc>
        <w:tc>
          <w:tcPr>
            <w:tcW w:w="1081"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8499"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一侧鼻翼缺损</w:t>
            </w:r>
          </w:p>
        </w:tc>
        <w:tc>
          <w:tcPr>
            <w:tcW w:w="1081"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8499"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单侧鼻腔或鼻孔闭锁</w:t>
            </w:r>
          </w:p>
        </w:tc>
        <w:tc>
          <w:tcPr>
            <w:tcW w:w="1081"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bl>
    <w:p>
      <w:pPr>
        <w:spacing w:line="240" w:lineRule="exact"/>
        <w:ind w:firstLine="360" w:firstLineChars="200"/>
        <w:contextualSpacing/>
        <w:rPr>
          <w:rFonts w:hint="eastAsia" w:ascii="宋体" w:hAnsi="宋体" w:eastAsia="宋体"/>
          <w:sz w:val="18"/>
          <w:szCs w:val="21"/>
        </w:rPr>
      </w:pPr>
    </w:p>
    <w:p>
      <w:pPr>
        <w:pStyle w:val="4"/>
        <w:numPr>
          <w:ilvl w:val="1"/>
          <w:numId w:val="1"/>
        </w:numPr>
        <w:ind w:left="0" w:firstLine="0"/>
        <w:contextualSpacing/>
        <w:rPr>
          <w:rFonts w:hint="eastAsia" w:ascii="宋体" w:hAnsi="宋体" w:eastAsia="宋体"/>
          <w:sz w:val="18"/>
          <w:szCs w:val="21"/>
        </w:rPr>
      </w:pPr>
      <w:bookmarkStart w:id="15" w:name="_Toc356463476"/>
      <w:r>
        <w:rPr>
          <w:rFonts w:hint="eastAsia" w:ascii="宋体" w:hAnsi="宋体" w:eastAsia="宋体"/>
          <w:sz w:val="18"/>
          <w:szCs w:val="21"/>
        </w:rPr>
        <w:t>口腔的结构损伤</w:t>
      </w:r>
      <w:bookmarkEnd w:id="15"/>
    </w:p>
    <w:p>
      <w:pPr>
        <w:spacing w:line="240" w:lineRule="exact"/>
        <w:ind w:firstLine="360" w:firstLineChars="200"/>
        <w:contextualSpacing/>
        <w:rPr>
          <w:rFonts w:hint="eastAsia" w:ascii="宋体" w:hAnsi="宋体" w:eastAsia="宋体"/>
          <w:sz w:val="18"/>
          <w:szCs w:val="21"/>
        </w:rPr>
      </w:pPr>
    </w:p>
    <w:tbl>
      <w:tblPr>
        <w:tblStyle w:val="11"/>
        <w:tblW w:w="9580"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8500"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舌缺损大于全舌的2/3</w:t>
            </w:r>
          </w:p>
        </w:tc>
        <w:tc>
          <w:tcPr>
            <w:tcW w:w="1080"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8500"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舌缺损大于全舌的1/3</w:t>
            </w:r>
          </w:p>
        </w:tc>
        <w:tc>
          <w:tcPr>
            <w:tcW w:w="1080"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6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8500"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口腔损伤导致牙齿脱落大于等于16枚</w:t>
            </w:r>
          </w:p>
        </w:tc>
        <w:tc>
          <w:tcPr>
            <w:tcW w:w="1080"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500"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口腔损伤导致牙齿脱落大于等于8枚</w:t>
            </w:r>
          </w:p>
        </w:tc>
        <w:tc>
          <w:tcPr>
            <w:tcW w:w="1080"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bl>
    <w:p>
      <w:pPr>
        <w:spacing w:line="240" w:lineRule="exact"/>
        <w:ind w:firstLine="360" w:firstLineChars="200"/>
        <w:contextualSpacing/>
        <w:rPr>
          <w:rFonts w:hint="eastAsia" w:ascii="宋体" w:hAnsi="宋体" w:eastAsia="宋体"/>
          <w:sz w:val="18"/>
          <w:szCs w:val="21"/>
        </w:rPr>
      </w:pPr>
    </w:p>
    <w:p>
      <w:pPr>
        <w:pStyle w:val="4"/>
        <w:numPr>
          <w:ilvl w:val="1"/>
          <w:numId w:val="1"/>
        </w:numPr>
        <w:ind w:left="0" w:firstLine="0"/>
        <w:contextualSpacing/>
        <w:rPr>
          <w:rFonts w:hint="eastAsia" w:ascii="宋体" w:hAnsi="宋体" w:eastAsia="宋体"/>
          <w:sz w:val="18"/>
          <w:szCs w:val="21"/>
        </w:rPr>
      </w:pPr>
      <w:bookmarkStart w:id="16" w:name="_Toc356463477"/>
      <w:r>
        <w:rPr>
          <w:rFonts w:hint="eastAsia" w:ascii="宋体" w:hAnsi="宋体" w:eastAsia="宋体"/>
          <w:sz w:val="18"/>
          <w:szCs w:val="21"/>
        </w:rPr>
        <w:t>发声和言语的功能障碍</w:t>
      </w:r>
      <w:bookmarkEnd w:id="16"/>
    </w:p>
    <w:p>
      <w:pPr>
        <w:ind w:firstLine="360" w:firstLineChars="200"/>
        <w:rPr>
          <w:rFonts w:hint="eastAsia" w:ascii="宋体" w:hAnsi="宋体" w:eastAsia="宋体"/>
          <w:sz w:val="18"/>
          <w:szCs w:val="21"/>
        </w:rPr>
      </w:pPr>
      <w:r>
        <w:rPr>
          <w:rFonts w:hint="eastAsia" w:ascii="宋体" w:hAnsi="宋体" w:eastAsia="宋体"/>
          <w:sz w:val="18"/>
          <w:szCs w:val="21"/>
        </w:rPr>
        <w:t>本标准中的发声和言语的功能障碍是指语言功能丧失。</w:t>
      </w:r>
    </w:p>
    <w:p>
      <w:pPr>
        <w:spacing w:line="240" w:lineRule="exact"/>
        <w:ind w:firstLine="360" w:firstLineChars="200"/>
        <w:contextualSpacing/>
        <w:rPr>
          <w:rFonts w:hint="eastAsia" w:ascii="宋体" w:hAnsi="宋体" w:eastAsia="宋体"/>
          <w:sz w:val="18"/>
          <w:szCs w:val="21"/>
        </w:rPr>
      </w:pPr>
    </w:p>
    <w:tbl>
      <w:tblPr>
        <w:tblStyle w:val="11"/>
        <w:tblW w:w="9580"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8499"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语言功能完全丧失</w:t>
            </w:r>
          </w:p>
        </w:tc>
        <w:tc>
          <w:tcPr>
            <w:tcW w:w="1081"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bl>
    <w:p>
      <w:pPr>
        <w:pStyle w:val="14"/>
        <w:rPr>
          <w:rFonts w:hint="eastAsia" w:ascii="宋体" w:hAnsi="宋体" w:eastAsia="宋体"/>
          <w:sz w:val="18"/>
          <w:szCs w:val="21"/>
        </w:rPr>
      </w:pPr>
      <w:r>
        <w:rPr>
          <w:rFonts w:hint="eastAsia" w:ascii="宋体" w:hAnsi="宋体" w:eastAsia="宋体"/>
          <w:sz w:val="18"/>
          <w:szCs w:val="21"/>
        </w:rPr>
        <w:t>注：语言功能完全丧失指构成语言的口唇音、齿舌音、口盖音和喉头音的四种语言功能中，有三种以上不能构声、或声带全部切除，或因大脑语言中枢受伤害而患失语症，并须有资格的耳鼻喉科医师出具医疗诊断证明，但不包括任何心理障碍引致的失语。</w:t>
      </w:r>
    </w:p>
    <w:p>
      <w:pPr>
        <w:spacing w:line="240" w:lineRule="exact"/>
        <w:ind w:firstLine="360" w:firstLineChars="200"/>
        <w:contextualSpacing/>
        <w:rPr>
          <w:rFonts w:hint="eastAsia" w:ascii="宋体" w:hAnsi="宋体" w:eastAsia="宋体"/>
          <w:sz w:val="18"/>
          <w:szCs w:val="21"/>
        </w:rPr>
      </w:pPr>
    </w:p>
    <w:p>
      <w:pPr>
        <w:pStyle w:val="3"/>
        <w:numPr>
          <w:ilvl w:val="0"/>
          <w:numId w:val="1"/>
        </w:numPr>
        <w:contextualSpacing/>
        <w:rPr>
          <w:rFonts w:hint="eastAsia" w:ascii="宋体" w:hAnsi="宋体" w:eastAsia="宋体"/>
          <w:sz w:val="18"/>
          <w:szCs w:val="21"/>
        </w:rPr>
      </w:pPr>
      <w:bookmarkStart w:id="17" w:name="_Toc349826914"/>
      <w:bookmarkEnd w:id="17"/>
      <w:bookmarkStart w:id="18" w:name="_Toc349833347"/>
      <w:bookmarkEnd w:id="18"/>
      <w:bookmarkStart w:id="19" w:name="_Toc349826758"/>
      <w:bookmarkEnd w:id="19"/>
      <w:bookmarkStart w:id="20" w:name="_Toc349832693"/>
      <w:bookmarkEnd w:id="20"/>
      <w:bookmarkStart w:id="21" w:name="_Toc349826915"/>
      <w:bookmarkEnd w:id="21"/>
      <w:bookmarkStart w:id="22" w:name="_Toc349833348"/>
      <w:bookmarkEnd w:id="22"/>
      <w:bookmarkStart w:id="23" w:name="_Toc349826759"/>
      <w:bookmarkEnd w:id="23"/>
      <w:bookmarkStart w:id="24" w:name="_Toc349833744"/>
      <w:bookmarkEnd w:id="24"/>
      <w:bookmarkStart w:id="25" w:name="_Toc349832692"/>
      <w:bookmarkEnd w:id="25"/>
      <w:bookmarkStart w:id="26" w:name="_Toc349833743"/>
      <w:bookmarkEnd w:id="26"/>
      <w:bookmarkStart w:id="27" w:name="_Toc356463478"/>
      <w:r>
        <w:rPr>
          <w:rFonts w:hint="eastAsia" w:ascii="宋体" w:hAnsi="宋体" w:eastAsia="宋体"/>
          <w:sz w:val="18"/>
          <w:szCs w:val="21"/>
        </w:rPr>
        <w:t>心血管，免疫和呼吸系统的结构和功能</w:t>
      </w:r>
      <w:bookmarkEnd w:id="27"/>
    </w:p>
    <w:p>
      <w:pPr>
        <w:pStyle w:val="4"/>
        <w:numPr>
          <w:ilvl w:val="1"/>
          <w:numId w:val="1"/>
        </w:numPr>
        <w:ind w:left="0" w:firstLine="0"/>
        <w:contextualSpacing/>
        <w:rPr>
          <w:rFonts w:hint="eastAsia" w:ascii="宋体" w:hAnsi="宋体" w:eastAsia="宋体"/>
          <w:sz w:val="18"/>
          <w:szCs w:val="21"/>
        </w:rPr>
      </w:pPr>
      <w:bookmarkStart w:id="28" w:name="_Toc350932575"/>
      <w:bookmarkStart w:id="29" w:name="_Toc356463479"/>
      <w:r>
        <w:rPr>
          <w:rFonts w:hint="eastAsia" w:ascii="宋体" w:hAnsi="宋体" w:eastAsia="宋体"/>
          <w:sz w:val="18"/>
          <w:szCs w:val="21"/>
        </w:rPr>
        <w:t>心脏的结构损伤或功能障碍</w:t>
      </w:r>
      <w:bookmarkEnd w:id="28"/>
      <w:bookmarkEnd w:id="29"/>
    </w:p>
    <w:p>
      <w:pPr>
        <w:rPr>
          <w:rFonts w:hint="eastAsia" w:ascii="宋体" w:hAnsi="宋体" w:eastAsia="宋体"/>
          <w:sz w:val="18"/>
          <w:szCs w:val="21"/>
        </w:rPr>
      </w:pPr>
    </w:p>
    <w:tbl>
      <w:tblPr>
        <w:tblStyle w:val="11"/>
        <w:tblW w:w="9560"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8480"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胸部损伤导致心肺联合移植</w:t>
            </w:r>
          </w:p>
        </w:tc>
        <w:tc>
          <w:tcPr>
            <w:tcW w:w="1080"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8480"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胸部损伤导致心脏贯通伤修补术后，心电图有明显改变</w:t>
            </w:r>
          </w:p>
        </w:tc>
        <w:tc>
          <w:tcPr>
            <w:tcW w:w="1080"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480"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胸部损伤导致心肌破裂修补</w:t>
            </w:r>
          </w:p>
        </w:tc>
        <w:tc>
          <w:tcPr>
            <w:tcW w:w="1080"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bl>
    <w:p>
      <w:pPr>
        <w:spacing w:line="240" w:lineRule="exact"/>
        <w:ind w:firstLine="360" w:firstLineChars="200"/>
        <w:contextualSpacing/>
        <w:rPr>
          <w:rFonts w:hint="eastAsia" w:ascii="宋体" w:hAnsi="宋体" w:eastAsia="宋体"/>
          <w:sz w:val="18"/>
          <w:szCs w:val="21"/>
        </w:rPr>
      </w:pPr>
    </w:p>
    <w:p>
      <w:pPr>
        <w:pStyle w:val="4"/>
        <w:numPr>
          <w:ilvl w:val="1"/>
          <w:numId w:val="1"/>
        </w:numPr>
        <w:ind w:left="0" w:firstLine="0"/>
        <w:contextualSpacing/>
        <w:rPr>
          <w:rFonts w:hint="eastAsia" w:ascii="宋体" w:hAnsi="宋体" w:eastAsia="宋体"/>
          <w:sz w:val="18"/>
          <w:szCs w:val="21"/>
        </w:rPr>
      </w:pPr>
      <w:bookmarkStart w:id="30" w:name="_Toc356463480"/>
      <w:r>
        <w:rPr>
          <w:rFonts w:hint="eastAsia" w:ascii="宋体" w:hAnsi="宋体" w:eastAsia="宋体"/>
          <w:sz w:val="18"/>
          <w:szCs w:val="21"/>
        </w:rPr>
        <w:t>脾结构损伤</w:t>
      </w:r>
      <w:bookmarkEnd w:id="30"/>
    </w:p>
    <w:p>
      <w:pPr>
        <w:spacing w:line="240" w:lineRule="exact"/>
        <w:ind w:firstLine="360" w:firstLineChars="200"/>
        <w:contextualSpacing/>
        <w:rPr>
          <w:rFonts w:hint="eastAsia" w:ascii="宋体" w:hAnsi="宋体" w:eastAsia="宋体"/>
          <w:sz w:val="18"/>
          <w:szCs w:val="21"/>
        </w:rPr>
      </w:pPr>
    </w:p>
    <w:tbl>
      <w:tblPr>
        <w:tblStyle w:val="11"/>
        <w:tblW w:w="9540"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463"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腹部损伤导致脾切除</w:t>
            </w:r>
          </w:p>
        </w:tc>
        <w:tc>
          <w:tcPr>
            <w:tcW w:w="1077"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8463"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腹部损伤导致脾部分切除</w:t>
            </w:r>
          </w:p>
        </w:tc>
        <w:tc>
          <w:tcPr>
            <w:tcW w:w="1077"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463"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腹部损伤导致脾破裂修补</w:t>
            </w:r>
          </w:p>
        </w:tc>
        <w:tc>
          <w:tcPr>
            <w:tcW w:w="1077"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bl>
    <w:p>
      <w:pPr>
        <w:spacing w:line="240" w:lineRule="exact"/>
        <w:ind w:firstLine="360" w:firstLineChars="200"/>
        <w:contextualSpacing/>
        <w:rPr>
          <w:rFonts w:hint="eastAsia" w:ascii="宋体" w:hAnsi="宋体" w:eastAsia="宋体"/>
          <w:sz w:val="18"/>
          <w:szCs w:val="21"/>
        </w:rPr>
      </w:pPr>
    </w:p>
    <w:p>
      <w:pPr>
        <w:pStyle w:val="4"/>
        <w:numPr>
          <w:ilvl w:val="1"/>
          <w:numId w:val="1"/>
        </w:numPr>
        <w:ind w:left="0" w:firstLine="0"/>
        <w:contextualSpacing/>
        <w:rPr>
          <w:rFonts w:hint="eastAsia" w:ascii="宋体" w:hAnsi="宋体" w:eastAsia="宋体"/>
          <w:sz w:val="18"/>
          <w:szCs w:val="21"/>
        </w:rPr>
      </w:pPr>
      <w:bookmarkStart w:id="31" w:name="_Toc356463481"/>
      <w:r>
        <w:rPr>
          <w:rFonts w:hint="eastAsia" w:ascii="宋体" w:hAnsi="宋体" w:eastAsia="宋体"/>
          <w:sz w:val="18"/>
          <w:szCs w:val="21"/>
        </w:rPr>
        <w:t>肺的结构损伤</w:t>
      </w:r>
      <w:bookmarkEnd w:id="31"/>
    </w:p>
    <w:p>
      <w:pPr>
        <w:pStyle w:val="15"/>
        <w:rPr>
          <w:rFonts w:hint="eastAsia" w:ascii="宋体" w:hAnsi="宋体" w:eastAsia="宋体"/>
          <w:sz w:val="18"/>
          <w:szCs w:val="21"/>
        </w:rPr>
      </w:pPr>
    </w:p>
    <w:tbl>
      <w:tblPr>
        <w:tblStyle w:val="11"/>
        <w:tblW w:w="9540" w:type="dxa"/>
        <w:jc w:val="center"/>
        <w:tblInd w:w="-34" w:type="dxa"/>
        <w:tblLayout w:type="fixed"/>
        <w:tblCellMar>
          <w:top w:w="0" w:type="dxa"/>
          <w:left w:w="108" w:type="dxa"/>
          <w:bottom w:w="0" w:type="dxa"/>
          <w:right w:w="108" w:type="dxa"/>
        </w:tblCellMar>
      </w:tblPr>
      <w:tblGrid>
        <w:gridCol w:w="8464"/>
        <w:gridCol w:w="1076"/>
      </w:tblGrid>
      <w:tr>
        <w:tblPrEx>
          <w:tblLayout w:type="fixed"/>
          <w:tblCellMar>
            <w:top w:w="0" w:type="dxa"/>
            <w:left w:w="108" w:type="dxa"/>
            <w:bottom w:w="0" w:type="dxa"/>
            <w:right w:w="108" w:type="dxa"/>
          </w:tblCellMar>
        </w:tblPrEx>
        <w:trPr>
          <w:trHeight w:val="292" w:hRule="atLeast"/>
          <w:jc w:val="center"/>
        </w:trPr>
        <w:tc>
          <w:tcPr>
            <w:tcW w:w="8464" w:type="dxa"/>
            <w:tcBorders>
              <w:top w:val="single" w:color="auto" w:sz="4" w:space="0"/>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bookmarkStart w:id="32" w:name="OLE_LINK13"/>
            <w:r>
              <w:rPr>
                <w:rFonts w:hint="eastAsia" w:ascii="宋体" w:hAnsi="宋体" w:eastAsia="宋体"/>
                <w:sz w:val="18"/>
                <w:szCs w:val="21"/>
              </w:rPr>
              <w:t>胸部损伤导致一侧全肺切除</w:t>
            </w:r>
            <w:bookmarkEnd w:id="32"/>
          </w:p>
        </w:tc>
        <w:tc>
          <w:tcPr>
            <w:tcW w:w="1076" w:type="dxa"/>
            <w:tcBorders>
              <w:top w:val="single" w:color="auto" w:sz="4" w:space="0"/>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4级</w:t>
            </w:r>
          </w:p>
        </w:tc>
      </w:tr>
      <w:tr>
        <w:tblPrEx>
          <w:tblLayout w:type="fixed"/>
          <w:tblCellMar>
            <w:top w:w="0" w:type="dxa"/>
            <w:left w:w="108" w:type="dxa"/>
            <w:bottom w:w="0" w:type="dxa"/>
            <w:right w:w="108" w:type="dxa"/>
          </w:tblCellMar>
        </w:tblPrEx>
        <w:trPr>
          <w:trHeight w:val="292" w:hRule="atLeast"/>
          <w:jc w:val="center"/>
        </w:trPr>
        <w:tc>
          <w:tcPr>
            <w:tcW w:w="8464"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胸部损伤导致双侧肺叶切除</w:t>
            </w:r>
          </w:p>
        </w:tc>
        <w:tc>
          <w:tcPr>
            <w:tcW w:w="1076" w:type="dxa"/>
            <w:tcBorders>
              <w:top w:val="single" w:color="auto" w:sz="4" w:space="0"/>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4级</w:t>
            </w:r>
          </w:p>
        </w:tc>
      </w:tr>
      <w:tr>
        <w:tblPrEx>
          <w:tblLayout w:type="fixed"/>
          <w:tblCellMar>
            <w:top w:w="0" w:type="dxa"/>
            <w:left w:w="108" w:type="dxa"/>
            <w:bottom w:w="0" w:type="dxa"/>
            <w:right w:w="108" w:type="dxa"/>
          </w:tblCellMar>
        </w:tblPrEx>
        <w:trPr>
          <w:trHeight w:val="292" w:hRule="atLeast"/>
          <w:jc w:val="center"/>
        </w:trPr>
        <w:tc>
          <w:tcPr>
            <w:tcW w:w="8464" w:type="dxa"/>
            <w:tcBorders>
              <w:top w:val="single" w:color="auto" w:sz="4" w:space="0"/>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胸部损伤导致同侧双肺叶切除</w:t>
            </w:r>
          </w:p>
        </w:tc>
        <w:tc>
          <w:tcPr>
            <w:tcW w:w="1076" w:type="dxa"/>
            <w:tcBorders>
              <w:top w:val="single" w:color="auto" w:sz="4" w:space="0"/>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Layout w:type="fixed"/>
          <w:tblCellMar>
            <w:top w:w="0" w:type="dxa"/>
            <w:left w:w="108" w:type="dxa"/>
            <w:bottom w:w="0" w:type="dxa"/>
            <w:right w:w="108" w:type="dxa"/>
          </w:tblCellMar>
        </w:tblPrEx>
        <w:trPr>
          <w:trHeight w:val="315" w:hRule="atLeast"/>
          <w:jc w:val="center"/>
        </w:trPr>
        <w:tc>
          <w:tcPr>
            <w:tcW w:w="8464" w:type="dxa"/>
            <w:tcBorders>
              <w:top w:val="single" w:color="auto" w:sz="4" w:space="0"/>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胸部损伤导致肺叶切除</w:t>
            </w:r>
          </w:p>
        </w:tc>
        <w:tc>
          <w:tcPr>
            <w:tcW w:w="1076" w:type="dxa"/>
            <w:tcBorders>
              <w:top w:val="single" w:color="auto" w:sz="4" w:space="0"/>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bl>
    <w:p>
      <w:pPr>
        <w:spacing w:line="240" w:lineRule="exact"/>
        <w:ind w:firstLine="360" w:firstLineChars="200"/>
        <w:contextualSpacing/>
        <w:rPr>
          <w:rFonts w:hint="eastAsia" w:ascii="宋体" w:hAnsi="宋体" w:eastAsia="宋体"/>
          <w:sz w:val="18"/>
          <w:szCs w:val="21"/>
        </w:rPr>
      </w:pPr>
    </w:p>
    <w:p>
      <w:pPr>
        <w:pStyle w:val="4"/>
        <w:numPr>
          <w:ilvl w:val="1"/>
          <w:numId w:val="1"/>
        </w:numPr>
        <w:ind w:left="0" w:firstLine="0"/>
        <w:contextualSpacing/>
        <w:rPr>
          <w:rFonts w:hint="eastAsia" w:ascii="宋体" w:hAnsi="宋体" w:eastAsia="宋体"/>
          <w:sz w:val="18"/>
          <w:szCs w:val="21"/>
        </w:rPr>
      </w:pPr>
      <w:bookmarkStart w:id="33" w:name="_Toc356463482"/>
      <w:r>
        <w:rPr>
          <w:rFonts w:hint="eastAsia" w:ascii="宋体" w:hAnsi="宋体" w:eastAsia="宋体"/>
          <w:sz w:val="18"/>
          <w:szCs w:val="21"/>
        </w:rPr>
        <w:t>胸廓的结构损伤</w:t>
      </w:r>
      <w:bookmarkEnd w:id="33"/>
    </w:p>
    <w:p>
      <w:pPr>
        <w:ind w:firstLine="360" w:firstLineChars="200"/>
        <w:contextualSpacing/>
        <w:rPr>
          <w:rFonts w:hint="eastAsia" w:ascii="宋体" w:hAnsi="宋体" w:eastAsia="宋体"/>
          <w:sz w:val="18"/>
          <w:szCs w:val="21"/>
        </w:rPr>
      </w:pPr>
      <w:r>
        <w:rPr>
          <w:rFonts w:hint="eastAsia" w:ascii="宋体" w:hAnsi="宋体" w:eastAsia="宋体"/>
          <w:sz w:val="18"/>
          <w:szCs w:val="21"/>
        </w:rPr>
        <w:t>本标准中的胸廓的结构损伤是指肋骨骨折或缺失。</w:t>
      </w:r>
    </w:p>
    <w:p>
      <w:pPr>
        <w:spacing w:line="240" w:lineRule="exact"/>
        <w:ind w:firstLine="360" w:firstLineChars="200"/>
        <w:contextualSpacing/>
        <w:rPr>
          <w:rFonts w:hint="eastAsia" w:ascii="宋体" w:hAnsi="宋体" w:eastAsia="宋体"/>
          <w:sz w:val="18"/>
          <w:szCs w:val="21"/>
        </w:rPr>
      </w:pPr>
    </w:p>
    <w:tbl>
      <w:tblPr>
        <w:tblStyle w:val="11"/>
        <w:tblW w:w="9580"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8499"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胸部损伤导致大于等于12根肋骨骨折</w:t>
            </w:r>
          </w:p>
        </w:tc>
        <w:tc>
          <w:tcPr>
            <w:tcW w:w="1081"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8499"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胸部损伤导致大于等于8根肋骨骨折</w:t>
            </w:r>
          </w:p>
        </w:tc>
        <w:tc>
          <w:tcPr>
            <w:tcW w:w="1081"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8499"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胸部损伤导致大于等于4根肋骨缺失</w:t>
            </w:r>
          </w:p>
        </w:tc>
        <w:tc>
          <w:tcPr>
            <w:tcW w:w="1081"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8499"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胸部损伤导致大于等于4根肋骨骨折</w:t>
            </w:r>
          </w:p>
        </w:tc>
        <w:tc>
          <w:tcPr>
            <w:tcW w:w="1081"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8499"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胸部损伤导致大于等于2根肋骨缺失</w:t>
            </w:r>
          </w:p>
        </w:tc>
        <w:tc>
          <w:tcPr>
            <w:tcW w:w="1081"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bl>
    <w:p>
      <w:pPr>
        <w:spacing w:line="240" w:lineRule="exact"/>
        <w:ind w:firstLine="360" w:firstLineChars="200"/>
        <w:contextualSpacing/>
        <w:rPr>
          <w:rFonts w:hint="eastAsia" w:ascii="宋体" w:hAnsi="宋体" w:eastAsia="宋体"/>
          <w:sz w:val="18"/>
          <w:szCs w:val="21"/>
        </w:rPr>
      </w:pPr>
    </w:p>
    <w:p>
      <w:pPr>
        <w:pStyle w:val="3"/>
        <w:numPr>
          <w:ilvl w:val="0"/>
          <w:numId w:val="1"/>
        </w:numPr>
        <w:contextualSpacing/>
        <w:rPr>
          <w:rFonts w:hint="eastAsia" w:ascii="宋体" w:hAnsi="宋体" w:eastAsia="宋体"/>
          <w:sz w:val="18"/>
          <w:szCs w:val="21"/>
        </w:rPr>
      </w:pPr>
      <w:bookmarkStart w:id="34" w:name="_Toc356463483"/>
      <w:r>
        <w:rPr>
          <w:rFonts w:hint="eastAsia" w:ascii="宋体" w:hAnsi="宋体" w:eastAsia="宋体"/>
          <w:sz w:val="18"/>
          <w:szCs w:val="21"/>
        </w:rPr>
        <w:t>消化、代谢和内分泌系统有关的结构和功能</w:t>
      </w:r>
      <w:bookmarkEnd w:id="34"/>
    </w:p>
    <w:p>
      <w:pPr>
        <w:pStyle w:val="4"/>
        <w:numPr>
          <w:ilvl w:val="1"/>
          <w:numId w:val="1"/>
        </w:numPr>
        <w:ind w:left="0" w:firstLine="0"/>
        <w:contextualSpacing/>
        <w:rPr>
          <w:rFonts w:hint="eastAsia" w:ascii="宋体" w:hAnsi="宋体" w:eastAsia="宋体"/>
          <w:sz w:val="18"/>
          <w:szCs w:val="21"/>
        </w:rPr>
      </w:pPr>
      <w:bookmarkStart w:id="35" w:name="_Toc356463484"/>
      <w:r>
        <w:rPr>
          <w:rFonts w:hint="eastAsia" w:ascii="宋体" w:hAnsi="宋体" w:eastAsia="宋体"/>
          <w:sz w:val="18"/>
          <w:szCs w:val="21"/>
        </w:rPr>
        <w:t>咀嚼和吞咽功能障碍</w:t>
      </w:r>
      <w:bookmarkEnd w:id="35"/>
    </w:p>
    <w:p>
      <w:pPr>
        <w:ind w:firstLine="360" w:firstLineChars="200"/>
        <w:contextualSpacing/>
        <w:rPr>
          <w:rFonts w:hint="eastAsia" w:ascii="宋体" w:hAnsi="宋体" w:eastAsia="宋体"/>
          <w:sz w:val="18"/>
          <w:szCs w:val="21"/>
        </w:rPr>
      </w:pPr>
      <w:r>
        <w:rPr>
          <w:rFonts w:hint="eastAsia" w:ascii="宋体" w:hAnsi="宋体" w:eastAsia="宋体"/>
          <w:sz w:val="18"/>
          <w:szCs w:val="21"/>
        </w:rPr>
        <w:t>咀嚼是指用后牙（如磨牙）碾、磨或咀嚼食物的功能。吞咽是指通过口腔、咽和食道把食物和饮料以适宜的频率和速度送入胃中的功能。</w:t>
      </w:r>
    </w:p>
    <w:p>
      <w:pPr>
        <w:spacing w:line="240" w:lineRule="exact"/>
        <w:ind w:firstLine="360" w:firstLineChars="200"/>
        <w:contextualSpacing/>
        <w:rPr>
          <w:rFonts w:hint="eastAsia" w:ascii="宋体" w:hAnsi="宋体" w:eastAsia="宋体"/>
          <w:sz w:val="18"/>
          <w:szCs w:val="21"/>
        </w:rPr>
      </w:pPr>
    </w:p>
    <w:tbl>
      <w:tblPr>
        <w:tblStyle w:val="11"/>
        <w:tblW w:w="9600"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8516"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咀嚼、吞咽功能完全丧失</w:t>
            </w:r>
          </w:p>
        </w:tc>
        <w:tc>
          <w:tcPr>
            <w:tcW w:w="1084"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1级</w:t>
            </w:r>
          </w:p>
        </w:tc>
      </w:tr>
    </w:tbl>
    <w:p>
      <w:pPr>
        <w:pStyle w:val="14"/>
        <w:rPr>
          <w:sz w:val="21"/>
          <w:szCs w:val="21"/>
        </w:rPr>
      </w:pPr>
      <w:r>
        <w:rPr>
          <w:rFonts w:hint="eastAsia"/>
          <w:sz w:val="21"/>
          <w:szCs w:val="21"/>
        </w:rPr>
        <w:t>注：咀嚼、吞咽功能丧失指由于牙齿以外的原因引起器质障碍或机能障碍，以致不能作咀嚼、吞咽运动，除流质食物外不能摄取或吞咽的状态。</w:t>
      </w:r>
    </w:p>
    <w:p>
      <w:pPr>
        <w:spacing w:line="240" w:lineRule="exact"/>
        <w:ind w:firstLine="420" w:firstLineChars="200"/>
        <w:contextualSpacing/>
        <w:rPr>
          <w:szCs w:val="21"/>
        </w:rPr>
      </w:pPr>
    </w:p>
    <w:p>
      <w:pPr>
        <w:pStyle w:val="4"/>
        <w:numPr>
          <w:ilvl w:val="1"/>
          <w:numId w:val="1"/>
        </w:numPr>
        <w:ind w:left="0" w:firstLine="0"/>
        <w:contextualSpacing/>
        <w:rPr>
          <w:sz w:val="18"/>
          <w:szCs w:val="21"/>
        </w:rPr>
      </w:pPr>
      <w:bookmarkStart w:id="36" w:name="_Toc356463485"/>
      <w:r>
        <w:rPr>
          <w:rFonts w:hint="eastAsia"/>
          <w:sz w:val="18"/>
          <w:szCs w:val="21"/>
        </w:rPr>
        <w:t>肠的结构损伤</w:t>
      </w:r>
      <w:bookmarkEnd w:id="36"/>
    </w:p>
    <w:p>
      <w:pPr>
        <w:spacing w:line="240" w:lineRule="exact"/>
        <w:ind w:firstLine="420" w:firstLineChars="200"/>
        <w:contextualSpacing/>
        <w:rPr>
          <w:szCs w:val="21"/>
        </w:rPr>
      </w:pPr>
    </w:p>
    <w:tbl>
      <w:tblPr>
        <w:tblStyle w:val="11"/>
        <w:tblW w:w="9600" w:type="dxa"/>
        <w:jc w:val="center"/>
        <w:tblInd w:w="-34" w:type="dxa"/>
        <w:tblLayout w:type="fixed"/>
        <w:tblCellMar>
          <w:top w:w="0" w:type="dxa"/>
          <w:left w:w="108" w:type="dxa"/>
          <w:bottom w:w="0" w:type="dxa"/>
          <w:right w:w="108" w:type="dxa"/>
        </w:tblCellMar>
      </w:tblPr>
      <w:tblGrid>
        <w:gridCol w:w="8516"/>
        <w:gridCol w:w="1084"/>
      </w:tblGrid>
      <w:tr>
        <w:tblPrEx>
          <w:tblLayout w:type="fixed"/>
          <w:tblCellMar>
            <w:top w:w="0" w:type="dxa"/>
            <w:left w:w="108" w:type="dxa"/>
            <w:bottom w:w="0" w:type="dxa"/>
            <w:right w:w="108" w:type="dxa"/>
          </w:tblCellMar>
        </w:tblPrEx>
        <w:trPr>
          <w:trHeight w:val="324" w:hRule="atLeast"/>
          <w:jc w:val="center"/>
        </w:trPr>
        <w:tc>
          <w:tcPr>
            <w:tcW w:w="8516" w:type="dxa"/>
            <w:tcBorders>
              <w:top w:val="single" w:color="auto" w:sz="4" w:space="0"/>
              <w:left w:val="single" w:color="auto" w:sz="4" w:space="0"/>
              <w:bottom w:val="single" w:color="auto" w:sz="4" w:space="0"/>
              <w:right w:val="single" w:color="auto" w:sz="4" w:space="0"/>
            </w:tcBorders>
            <w:vAlign w:val="top"/>
          </w:tcPr>
          <w:p>
            <w:pPr>
              <w:ind w:left="0" w:leftChars="0" w:right="0" w:rightChars="0" w:firstLine="0" w:firstLineChars="0"/>
              <w:rPr>
                <w:sz w:val="18"/>
                <w:szCs w:val="21"/>
              </w:rPr>
            </w:pPr>
            <w:r>
              <w:rPr>
                <w:rFonts w:hint="eastAsia"/>
                <w:sz w:val="18"/>
                <w:szCs w:val="21"/>
              </w:rPr>
              <w:t>腹部损伤导致小肠切除大于等于</w:t>
            </w:r>
            <w:r>
              <w:rPr>
                <w:sz w:val="18"/>
                <w:szCs w:val="21"/>
              </w:rPr>
              <w:t>90%</w:t>
            </w:r>
          </w:p>
        </w:tc>
        <w:tc>
          <w:tcPr>
            <w:tcW w:w="1084" w:type="dxa"/>
            <w:tcBorders>
              <w:top w:val="single" w:color="auto" w:sz="4" w:space="0"/>
              <w:left w:val="nil"/>
              <w:bottom w:val="single" w:color="auto" w:sz="4" w:space="0"/>
              <w:right w:val="single" w:color="auto" w:sz="4" w:space="0"/>
            </w:tcBorders>
            <w:vAlign w:val="top"/>
          </w:tcPr>
          <w:p>
            <w:pPr>
              <w:ind w:left="0" w:leftChars="0" w:right="0" w:rightChars="0" w:firstLine="0" w:firstLineChars="0"/>
              <w:jc w:val="center"/>
              <w:rPr>
                <w:sz w:val="18"/>
                <w:szCs w:val="21"/>
              </w:rPr>
            </w:pPr>
            <w:r>
              <w:rPr>
                <w:sz w:val="18"/>
                <w:szCs w:val="21"/>
              </w:rPr>
              <w:t xml:space="preserve">1 </w:t>
            </w:r>
            <w:r>
              <w:rPr>
                <w:rFonts w:hint="eastAsia"/>
                <w:sz w:val="18"/>
                <w:szCs w:val="21"/>
              </w:rPr>
              <w:t>级</w:t>
            </w:r>
          </w:p>
        </w:tc>
      </w:tr>
      <w:tr>
        <w:tblPrEx>
          <w:tblLayout w:type="fixed"/>
          <w:tblCellMar>
            <w:top w:w="0" w:type="dxa"/>
            <w:left w:w="108" w:type="dxa"/>
            <w:bottom w:w="0" w:type="dxa"/>
            <w:right w:w="108" w:type="dxa"/>
          </w:tblCellMar>
        </w:tblPrEx>
        <w:trPr>
          <w:trHeight w:val="324" w:hRule="atLeast"/>
          <w:jc w:val="center"/>
        </w:trPr>
        <w:tc>
          <w:tcPr>
            <w:tcW w:w="8516" w:type="dxa"/>
            <w:tcBorders>
              <w:top w:val="single" w:color="auto" w:sz="4" w:space="0"/>
              <w:left w:val="single" w:color="auto" w:sz="4" w:space="0"/>
              <w:bottom w:val="single" w:color="auto" w:sz="4" w:space="0"/>
              <w:right w:val="single" w:color="auto" w:sz="4" w:space="0"/>
            </w:tcBorders>
            <w:vAlign w:val="top"/>
          </w:tcPr>
          <w:p>
            <w:pPr>
              <w:ind w:left="0" w:leftChars="0" w:right="0" w:rightChars="0" w:firstLine="0" w:firstLineChars="0"/>
              <w:rPr>
                <w:sz w:val="18"/>
                <w:szCs w:val="21"/>
              </w:rPr>
            </w:pPr>
            <w:r>
              <w:rPr>
                <w:rFonts w:hint="eastAsia"/>
                <w:sz w:val="18"/>
                <w:szCs w:val="21"/>
              </w:rPr>
              <w:t>腹部损伤导致小肠切除大于等于</w:t>
            </w:r>
            <w:r>
              <w:rPr>
                <w:sz w:val="18"/>
                <w:szCs w:val="21"/>
              </w:rPr>
              <w:t>75%，合并短肠综合症</w:t>
            </w:r>
          </w:p>
        </w:tc>
        <w:tc>
          <w:tcPr>
            <w:tcW w:w="1084" w:type="dxa"/>
            <w:tcBorders>
              <w:top w:val="single" w:color="auto" w:sz="4" w:space="0"/>
              <w:left w:val="nil"/>
              <w:bottom w:val="single" w:color="auto" w:sz="4" w:space="0"/>
              <w:right w:val="single" w:color="auto" w:sz="4" w:space="0"/>
            </w:tcBorders>
            <w:vAlign w:val="top"/>
          </w:tcPr>
          <w:p>
            <w:pPr>
              <w:ind w:left="0" w:leftChars="0" w:right="0" w:rightChars="0" w:firstLine="0" w:firstLineChars="0"/>
              <w:jc w:val="center"/>
              <w:rPr>
                <w:sz w:val="18"/>
                <w:szCs w:val="21"/>
              </w:rPr>
            </w:pPr>
            <w:r>
              <w:rPr>
                <w:sz w:val="18"/>
                <w:szCs w:val="21"/>
              </w:rPr>
              <w:t>2级</w:t>
            </w:r>
          </w:p>
        </w:tc>
      </w:tr>
      <w:tr>
        <w:tblPrEx>
          <w:tblLayout w:type="fixed"/>
          <w:tblCellMar>
            <w:top w:w="0" w:type="dxa"/>
            <w:left w:w="108" w:type="dxa"/>
            <w:bottom w:w="0" w:type="dxa"/>
            <w:right w:w="108" w:type="dxa"/>
          </w:tblCellMar>
        </w:tblPrEx>
        <w:trPr>
          <w:trHeight w:val="324" w:hRule="atLeast"/>
          <w:jc w:val="center"/>
        </w:trPr>
        <w:tc>
          <w:tcPr>
            <w:tcW w:w="8516" w:type="dxa"/>
            <w:tcBorders>
              <w:top w:val="single" w:color="auto" w:sz="4" w:space="0"/>
              <w:left w:val="single" w:color="auto" w:sz="4" w:space="0"/>
              <w:bottom w:val="single" w:color="auto" w:sz="4" w:space="0"/>
              <w:right w:val="single" w:color="auto" w:sz="4" w:space="0"/>
            </w:tcBorders>
            <w:vAlign w:val="top"/>
          </w:tcPr>
          <w:p>
            <w:pPr>
              <w:ind w:left="0" w:leftChars="0" w:right="0" w:rightChars="0" w:firstLine="0" w:firstLineChars="0"/>
              <w:rPr>
                <w:sz w:val="18"/>
                <w:szCs w:val="21"/>
              </w:rPr>
            </w:pPr>
            <w:r>
              <w:rPr>
                <w:rFonts w:hint="eastAsia"/>
                <w:sz w:val="18"/>
                <w:szCs w:val="21"/>
              </w:rPr>
              <w:t>腹部损伤导致小肠切除大于等于</w:t>
            </w:r>
            <w:r>
              <w:rPr>
                <w:sz w:val="18"/>
                <w:szCs w:val="21"/>
              </w:rPr>
              <w:t>75%</w:t>
            </w:r>
          </w:p>
        </w:tc>
        <w:tc>
          <w:tcPr>
            <w:tcW w:w="1084" w:type="dxa"/>
            <w:tcBorders>
              <w:top w:val="single" w:color="auto" w:sz="4" w:space="0"/>
              <w:left w:val="nil"/>
              <w:bottom w:val="single" w:color="auto" w:sz="4" w:space="0"/>
              <w:right w:val="single" w:color="auto" w:sz="4" w:space="0"/>
            </w:tcBorders>
            <w:vAlign w:val="top"/>
          </w:tcPr>
          <w:p>
            <w:pPr>
              <w:ind w:left="0" w:leftChars="0" w:right="0" w:rightChars="0" w:firstLine="0" w:firstLineChars="0"/>
              <w:jc w:val="center"/>
              <w:rPr>
                <w:sz w:val="18"/>
                <w:szCs w:val="21"/>
              </w:rPr>
            </w:pPr>
            <w:r>
              <w:rPr>
                <w:sz w:val="18"/>
                <w:szCs w:val="21"/>
              </w:rPr>
              <w:t>4级</w:t>
            </w:r>
          </w:p>
        </w:tc>
      </w:tr>
      <w:tr>
        <w:tblPrEx>
          <w:tblLayout w:type="fixed"/>
          <w:tblCellMar>
            <w:top w:w="0" w:type="dxa"/>
            <w:left w:w="108" w:type="dxa"/>
            <w:bottom w:w="0" w:type="dxa"/>
            <w:right w:w="108" w:type="dxa"/>
          </w:tblCellMar>
        </w:tblPrEx>
        <w:trPr>
          <w:trHeight w:val="324" w:hRule="atLeast"/>
          <w:jc w:val="center"/>
        </w:trPr>
        <w:tc>
          <w:tcPr>
            <w:tcW w:w="8516" w:type="dxa"/>
            <w:tcBorders>
              <w:top w:val="single" w:color="auto" w:sz="4" w:space="0"/>
              <w:left w:val="single" w:color="auto" w:sz="4" w:space="0"/>
              <w:bottom w:val="single" w:color="auto" w:sz="4" w:space="0"/>
              <w:right w:val="single" w:color="auto" w:sz="4" w:space="0"/>
            </w:tcBorders>
            <w:vAlign w:val="top"/>
          </w:tcPr>
          <w:p>
            <w:pPr>
              <w:ind w:left="0" w:leftChars="0" w:right="0" w:rightChars="0" w:firstLine="0" w:firstLineChars="0"/>
              <w:rPr>
                <w:sz w:val="18"/>
                <w:szCs w:val="21"/>
              </w:rPr>
            </w:pPr>
            <w:r>
              <w:rPr>
                <w:rFonts w:hint="eastAsia"/>
                <w:sz w:val="18"/>
                <w:szCs w:val="21"/>
              </w:rPr>
              <w:t>腹部或骨盆部损伤导致全结肠、直肠、肛门结构切除，回肠造瘘</w:t>
            </w:r>
          </w:p>
        </w:tc>
        <w:tc>
          <w:tcPr>
            <w:tcW w:w="1084" w:type="dxa"/>
            <w:tcBorders>
              <w:top w:val="single" w:color="auto" w:sz="4" w:space="0"/>
              <w:left w:val="nil"/>
              <w:bottom w:val="single" w:color="auto" w:sz="4" w:space="0"/>
              <w:right w:val="single" w:color="auto" w:sz="4" w:space="0"/>
            </w:tcBorders>
            <w:vAlign w:val="top"/>
          </w:tcPr>
          <w:p>
            <w:pPr>
              <w:ind w:left="0" w:leftChars="0" w:right="0" w:rightChars="0" w:firstLine="0" w:firstLineChars="0"/>
              <w:jc w:val="center"/>
              <w:rPr>
                <w:sz w:val="18"/>
                <w:szCs w:val="21"/>
              </w:rPr>
            </w:pPr>
            <w:r>
              <w:rPr>
                <w:sz w:val="18"/>
                <w:szCs w:val="21"/>
              </w:rPr>
              <w:t>4级</w:t>
            </w:r>
          </w:p>
        </w:tc>
      </w:tr>
      <w:tr>
        <w:tblPrEx>
          <w:tblLayout w:type="fixed"/>
          <w:tblCellMar>
            <w:top w:w="0" w:type="dxa"/>
            <w:left w:w="108" w:type="dxa"/>
            <w:bottom w:w="0" w:type="dxa"/>
            <w:right w:w="108" w:type="dxa"/>
          </w:tblCellMar>
        </w:tblPrEx>
        <w:trPr>
          <w:trHeight w:val="324" w:hRule="atLeast"/>
          <w:jc w:val="center"/>
        </w:trPr>
        <w:tc>
          <w:tcPr>
            <w:tcW w:w="8516"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sz w:val="18"/>
                <w:szCs w:val="21"/>
              </w:rPr>
            </w:pPr>
            <w:r>
              <w:rPr>
                <w:rFonts w:hint="eastAsia"/>
                <w:sz w:val="18"/>
                <w:szCs w:val="21"/>
              </w:rPr>
              <w:t>腹部或骨盆部损伤导致直肠、肛门切除，且结肠部分切除，结肠造瘘</w:t>
            </w:r>
          </w:p>
        </w:tc>
        <w:tc>
          <w:tcPr>
            <w:tcW w:w="1084" w:type="dxa"/>
            <w:tcBorders>
              <w:top w:val="nil"/>
              <w:left w:val="nil"/>
              <w:bottom w:val="single" w:color="auto" w:sz="4" w:space="0"/>
              <w:right w:val="single" w:color="auto" w:sz="4" w:space="0"/>
            </w:tcBorders>
            <w:vAlign w:val="top"/>
          </w:tcPr>
          <w:p>
            <w:pPr>
              <w:ind w:left="0" w:leftChars="0" w:right="0" w:rightChars="0" w:firstLine="0" w:firstLineChars="0"/>
              <w:jc w:val="center"/>
              <w:rPr>
                <w:sz w:val="18"/>
                <w:szCs w:val="21"/>
              </w:rPr>
            </w:pPr>
            <w:r>
              <w:rPr>
                <w:sz w:val="18"/>
                <w:szCs w:val="21"/>
              </w:rPr>
              <w:t>5级</w:t>
            </w:r>
          </w:p>
        </w:tc>
      </w:tr>
      <w:tr>
        <w:tblPrEx>
          <w:tblLayout w:type="fixed"/>
          <w:tblCellMar>
            <w:top w:w="0" w:type="dxa"/>
            <w:left w:w="108" w:type="dxa"/>
            <w:bottom w:w="0" w:type="dxa"/>
            <w:right w:w="108" w:type="dxa"/>
          </w:tblCellMar>
        </w:tblPrEx>
        <w:trPr>
          <w:trHeight w:val="324" w:hRule="atLeast"/>
          <w:jc w:val="center"/>
        </w:trPr>
        <w:tc>
          <w:tcPr>
            <w:tcW w:w="8516"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sz w:val="18"/>
                <w:szCs w:val="21"/>
              </w:rPr>
            </w:pPr>
            <w:r>
              <w:rPr>
                <w:rFonts w:hint="eastAsia"/>
                <w:sz w:val="18"/>
                <w:szCs w:val="21"/>
              </w:rPr>
              <w:t>腹部损伤导致小肠切除大于等于</w:t>
            </w:r>
            <w:r>
              <w:rPr>
                <w:sz w:val="18"/>
                <w:szCs w:val="21"/>
              </w:rPr>
              <w:t>50%,且包括回盲部切除</w:t>
            </w:r>
          </w:p>
        </w:tc>
        <w:tc>
          <w:tcPr>
            <w:tcW w:w="1084" w:type="dxa"/>
            <w:tcBorders>
              <w:top w:val="nil"/>
              <w:left w:val="nil"/>
              <w:bottom w:val="single" w:color="auto" w:sz="4" w:space="0"/>
              <w:right w:val="single" w:color="auto" w:sz="4" w:space="0"/>
            </w:tcBorders>
            <w:vAlign w:val="top"/>
          </w:tcPr>
          <w:p>
            <w:pPr>
              <w:ind w:left="0" w:leftChars="0" w:right="0" w:rightChars="0" w:firstLine="0" w:firstLineChars="0"/>
              <w:jc w:val="center"/>
              <w:rPr>
                <w:sz w:val="18"/>
                <w:szCs w:val="21"/>
              </w:rPr>
            </w:pPr>
            <w:r>
              <w:rPr>
                <w:sz w:val="18"/>
                <w:szCs w:val="21"/>
              </w:rPr>
              <w:t>6级</w:t>
            </w:r>
          </w:p>
        </w:tc>
      </w:tr>
      <w:tr>
        <w:tblPrEx>
          <w:tblLayout w:type="fixed"/>
          <w:tblCellMar>
            <w:top w:w="0" w:type="dxa"/>
            <w:left w:w="108" w:type="dxa"/>
            <w:bottom w:w="0" w:type="dxa"/>
            <w:right w:w="108" w:type="dxa"/>
          </w:tblCellMar>
        </w:tblPrEx>
        <w:trPr>
          <w:trHeight w:val="324" w:hRule="atLeast"/>
          <w:jc w:val="center"/>
        </w:trPr>
        <w:tc>
          <w:tcPr>
            <w:tcW w:w="8516"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sz w:val="18"/>
                <w:szCs w:val="21"/>
              </w:rPr>
            </w:pPr>
            <w:r>
              <w:rPr>
                <w:rFonts w:hint="eastAsia"/>
                <w:sz w:val="18"/>
                <w:szCs w:val="21"/>
              </w:rPr>
              <w:t>腹部损伤导致小肠切除大于等于</w:t>
            </w:r>
            <w:r>
              <w:rPr>
                <w:sz w:val="18"/>
                <w:szCs w:val="21"/>
              </w:rPr>
              <w:t>50%</w:t>
            </w:r>
          </w:p>
        </w:tc>
        <w:tc>
          <w:tcPr>
            <w:tcW w:w="1084" w:type="dxa"/>
            <w:tcBorders>
              <w:top w:val="nil"/>
              <w:left w:val="nil"/>
              <w:bottom w:val="single" w:color="auto" w:sz="4" w:space="0"/>
              <w:right w:val="single" w:color="auto" w:sz="4" w:space="0"/>
            </w:tcBorders>
            <w:vAlign w:val="top"/>
          </w:tcPr>
          <w:p>
            <w:pPr>
              <w:ind w:left="0" w:leftChars="0" w:right="0" w:rightChars="0" w:firstLine="0" w:firstLineChars="0"/>
              <w:jc w:val="center"/>
              <w:rPr>
                <w:sz w:val="18"/>
                <w:szCs w:val="21"/>
              </w:rPr>
            </w:pPr>
            <w:r>
              <w:rPr>
                <w:sz w:val="18"/>
                <w:szCs w:val="21"/>
              </w:rPr>
              <w:t>7级</w:t>
            </w:r>
          </w:p>
        </w:tc>
      </w:tr>
      <w:tr>
        <w:tblPrEx>
          <w:tblLayout w:type="fixed"/>
          <w:tblCellMar>
            <w:top w:w="0" w:type="dxa"/>
            <w:left w:w="108" w:type="dxa"/>
            <w:bottom w:w="0" w:type="dxa"/>
            <w:right w:w="108" w:type="dxa"/>
          </w:tblCellMar>
        </w:tblPrEx>
        <w:trPr>
          <w:trHeight w:val="324" w:hRule="atLeast"/>
          <w:jc w:val="center"/>
        </w:trPr>
        <w:tc>
          <w:tcPr>
            <w:tcW w:w="8516"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sz w:val="18"/>
                <w:szCs w:val="21"/>
              </w:rPr>
            </w:pPr>
            <w:r>
              <w:rPr>
                <w:rFonts w:hint="eastAsia"/>
                <w:sz w:val="18"/>
                <w:szCs w:val="21"/>
              </w:rPr>
              <w:t>腹部损伤导致结肠切除大于等于</w:t>
            </w:r>
            <w:r>
              <w:rPr>
                <w:sz w:val="18"/>
                <w:szCs w:val="21"/>
              </w:rPr>
              <w:t>50%</w:t>
            </w:r>
          </w:p>
        </w:tc>
        <w:tc>
          <w:tcPr>
            <w:tcW w:w="1084" w:type="dxa"/>
            <w:tcBorders>
              <w:top w:val="nil"/>
              <w:left w:val="nil"/>
              <w:bottom w:val="single" w:color="auto" w:sz="4" w:space="0"/>
              <w:right w:val="single" w:color="auto" w:sz="4" w:space="0"/>
            </w:tcBorders>
            <w:vAlign w:val="top"/>
          </w:tcPr>
          <w:p>
            <w:pPr>
              <w:ind w:left="0" w:leftChars="0" w:right="0" w:rightChars="0" w:firstLine="0" w:firstLineChars="0"/>
              <w:jc w:val="center"/>
              <w:rPr>
                <w:sz w:val="18"/>
                <w:szCs w:val="21"/>
              </w:rPr>
            </w:pPr>
            <w:r>
              <w:rPr>
                <w:sz w:val="18"/>
                <w:szCs w:val="21"/>
              </w:rPr>
              <w:t>7级</w:t>
            </w:r>
          </w:p>
        </w:tc>
      </w:tr>
      <w:tr>
        <w:tblPrEx>
          <w:tblLayout w:type="fixed"/>
          <w:tblCellMar>
            <w:top w:w="0" w:type="dxa"/>
            <w:left w:w="108" w:type="dxa"/>
            <w:bottom w:w="0" w:type="dxa"/>
            <w:right w:w="108" w:type="dxa"/>
          </w:tblCellMar>
        </w:tblPrEx>
        <w:trPr>
          <w:trHeight w:val="324" w:hRule="atLeast"/>
          <w:jc w:val="center"/>
        </w:trPr>
        <w:tc>
          <w:tcPr>
            <w:tcW w:w="8516"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sz w:val="18"/>
                <w:szCs w:val="21"/>
              </w:rPr>
            </w:pPr>
            <w:r>
              <w:rPr>
                <w:rFonts w:hint="eastAsia"/>
                <w:sz w:val="18"/>
                <w:szCs w:val="21"/>
              </w:rPr>
              <w:t>腹部损伤导致结肠部分切除</w:t>
            </w:r>
          </w:p>
        </w:tc>
        <w:tc>
          <w:tcPr>
            <w:tcW w:w="1084" w:type="dxa"/>
            <w:tcBorders>
              <w:top w:val="nil"/>
              <w:left w:val="nil"/>
              <w:bottom w:val="single" w:color="auto" w:sz="4" w:space="0"/>
              <w:right w:val="single" w:color="auto" w:sz="4" w:space="0"/>
            </w:tcBorders>
            <w:vAlign w:val="top"/>
          </w:tcPr>
          <w:p>
            <w:pPr>
              <w:ind w:left="0" w:leftChars="0" w:right="0" w:rightChars="0" w:firstLine="0" w:firstLineChars="0"/>
              <w:jc w:val="center"/>
              <w:rPr>
                <w:sz w:val="18"/>
                <w:szCs w:val="21"/>
              </w:rPr>
            </w:pPr>
            <w:r>
              <w:rPr>
                <w:sz w:val="18"/>
                <w:szCs w:val="21"/>
              </w:rPr>
              <w:t>8级</w:t>
            </w:r>
          </w:p>
        </w:tc>
      </w:tr>
      <w:tr>
        <w:tblPrEx>
          <w:tblLayout w:type="fixed"/>
          <w:tblCellMar>
            <w:top w:w="0" w:type="dxa"/>
            <w:left w:w="108" w:type="dxa"/>
            <w:bottom w:w="0" w:type="dxa"/>
            <w:right w:w="108" w:type="dxa"/>
          </w:tblCellMar>
        </w:tblPrEx>
        <w:trPr>
          <w:trHeight w:val="324" w:hRule="atLeast"/>
          <w:jc w:val="center"/>
        </w:trPr>
        <w:tc>
          <w:tcPr>
            <w:tcW w:w="8516"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sz w:val="18"/>
                <w:szCs w:val="21"/>
              </w:rPr>
            </w:pPr>
            <w:r>
              <w:rPr>
                <w:rFonts w:hint="eastAsia"/>
                <w:sz w:val="18"/>
                <w:szCs w:val="21"/>
              </w:rPr>
              <w:t>骨盆部损伤导致直肠、肛门损伤，且遗留永久性乙状结肠造口</w:t>
            </w:r>
          </w:p>
        </w:tc>
        <w:tc>
          <w:tcPr>
            <w:tcW w:w="1084" w:type="dxa"/>
            <w:tcBorders>
              <w:top w:val="nil"/>
              <w:left w:val="nil"/>
              <w:bottom w:val="single" w:color="auto" w:sz="4" w:space="0"/>
              <w:right w:val="single" w:color="auto" w:sz="4" w:space="0"/>
            </w:tcBorders>
            <w:vAlign w:val="top"/>
          </w:tcPr>
          <w:p>
            <w:pPr>
              <w:ind w:left="0" w:leftChars="0" w:right="0" w:rightChars="0" w:firstLine="0" w:firstLineChars="0"/>
              <w:jc w:val="center"/>
              <w:rPr>
                <w:sz w:val="18"/>
                <w:szCs w:val="21"/>
              </w:rPr>
            </w:pPr>
            <w:r>
              <w:rPr>
                <w:sz w:val="18"/>
                <w:szCs w:val="21"/>
              </w:rPr>
              <w:t>9级</w:t>
            </w:r>
          </w:p>
        </w:tc>
      </w:tr>
      <w:tr>
        <w:tblPrEx>
          <w:tblLayout w:type="fixed"/>
          <w:tblCellMar>
            <w:top w:w="0" w:type="dxa"/>
            <w:left w:w="108" w:type="dxa"/>
            <w:bottom w:w="0" w:type="dxa"/>
            <w:right w:w="108" w:type="dxa"/>
          </w:tblCellMar>
        </w:tblPrEx>
        <w:trPr>
          <w:trHeight w:val="334" w:hRule="atLeast"/>
          <w:jc w:val="center"/>
        </w:trPr>
        <w:tc>
          <w:tcPr>
            <w:tcW w:w="8516"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sz w:val="18"/>
                <w:szCs w:val="21"/>
              </w:rPr>
            </w:pPr>
            <w:r>
              <w:rPr>
                <w:rFonts w:hint="eastAsia"/>
                <w:sz w:val="18"/>
                <w:szCs w:val="21"/>
              </w:rPr>
              <w:t>骨盆部损伤导致直肠、肛门损伤，且瘢痕形成</w:t>
            </w:r>
          </w:p>
        </w:tc>
        <w:tc>
          <w:tcPr>
            <w:tcW w:w="1084" w:type="dxa"/>
            <w:tcBorders>
              <w:top w:val="nil"/>
              <w:left w:val="nil"/>
              <w:bottom w:val="single" w:color="auto" w:sz="4" w:space="0"/>
              <w:right w:val="single" w:color="auto" w:sz="4" w:space="0"/>
            </w:tcBorders>
            <w:vAlign w:val="top"/>
          </w:tcPr>
          <w:p>
            <w:pPr>
              <w:ind w:left="0" w:leftChars="0" w:right="0" w:rightChars="0" w:firstLine="0" w:firstLineChars="0"/>
              <w:jc w:val="center"/>
              <w:rPr>
                <w:sz w:val="18"/>
                <w:szCs w:val="21"/>
              </w:rPr>
            </w:pPr>
            <w:r>
              <w:rPr>
                <w:sz w:val="18"/>
                <w:szCs w:val="21"/>
              </w:rPr>
              <w:t>10级</w:t>
            </w:r>
          </w:p>
        </w:tc>
      </w:tr>
    </w:tbl>
    <w:p>
      <w:pPr>
        <w:spacing w:line="240" w:lineRule="exact"/>
        <w:ind w:firstLine="420" w:firstLineChars="200"/>
        <w:contextualSpacing/>
        <w:rPr>
          <w:szCs w:val="21"/>
        </w:rPr>
      </w:pPr>
    </w:p>
    <w:p>
      <w:pPr>
        <w:pStyle w:val="4"/>
        <w:numPr>
          <w:ilvl w:val="1"/>
          <w:numId w:val="1"/>
        </w:numPr>
        <w:ind w:left="0" w:firstLine="0"/>
        <w:contextualSpacing/>
        <w:rPr>
          <w:sz w:val="18"/>
          <w:szCs w:val="21"/>
        </w:rPr>
      </w:pPr>
      <w:bookmarkStart w:id="37" w:name="_Toc356463486"/>
      <w:r>
        <w:rPr>
          <w:rFonts w:hint="eastAsia"/>
          <w:sz w:val="18"/>
          <w:szCs w:val="21"/>
        </w:rPr>
        <w:t>胃结构损伤</w:t>
      </w:r>
      <w:bookmarkEnd w:id="37"/>
    </w:p>
    <w:p>
      <w:pPr>
        <w:spacing w:line="240" w:lineRule="exact"/>
        <w:ind w:firstLine="360" w:firstLineChars="200"/>
        <w:contextualSpacing/>
        <w:rPr>
          <w:sz w:val="18"/>
          <w:szCs w:val="21"/>
        </w:rPr>
      </w:pPr>
    </w:p>
    <w:tbl>
      <w:tblPr>
        <w:tblStyle w:val="11"/>
        <w:tblW w:w="9660"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jc w:val="center"/>
        </w:trPr>
        <w:tc>
          <w:tcPr>
            <w:tcW w:w="8570"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腹部损伤导致全胃切除</w:t>
            </w:r>
          </w:p>
        </w:tc>
        <w:tc>
          <w:tcPr>
            <w:tcW w:w="1090"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570"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腹部损伤导致胃切除大于等于50%</w:t>
            </w:r>
          </w:p>
        </w:tc>
        <w:tc>
          <w:tcPr>
            <w:tcW w:w="1090"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bl>
    <w:p>
      <w:pPr>
        <w:spacing w:line="240" w:lineRule="exact"/>
        <w:ind w:firstLine="360" w:firstLineChars="200"/>
        <w:contextualSpacing/>
        <w:rPr>
          <w:sz w:val="18"/>
          <w:szCs w:val="21"/>
        </w:rPr>
      </w:pPr>
    </w:p>
    <w:p>
      <w:pPr>
        <w:pStyle w:val="4"/>
        <w:numPr>
          <w:ilvl w:val="1"/>
          <w:numId w:val="1"/>
        </w:numPr>
        <w:ind w:left="0" w:firstLine="0"/>
        <w:contextualSpacing/>
        <w:rPr>
          <w:sz w:val="18"/>
          <w:szCs w:val="21"/>
        </w:rPr>
      </w:pPr>
      <w:bookmarkStart w:id="38" w:name="_Toc356463487"/>
      <w:r>
        <w:rPr>
          <w:rFonts w:hint="eastAsia"/>
          <w:sz w:val="18"/>
          <w:szCs w:val="21"/>
        </w:rPr>
        <w:t>胰结构损伤或代谢功能障碍</w:t>
      </w:r>
      <w:bookmarkEnd w:id="38"/>
    </w:p>
    <w:p>
      <w:pPr>
        <w:ind w:firstLine="360" w:firstLineChars="200"/>
        <w:contextualSpacing/>
        <w:rPr>
          <w:sz w:val="18"/>
          <w:szCs w:val="21"/>
        </w:rPr>
      </w:pPr>
      <w:r>
        <w:rPr>
          <w:rFonts w:hint="eastAsia"/>
          <w:sz w:val="18"/>
          <w:szCs w:val="21"/>
        </w:rPr>
        <w:t>本标准中的代谢功能障碍是指胰岛素依赖。</w:t>
      </w:r>
    </w:p>
    <w:p>
      <w:pPr>
        <w:spacing w:line="240" w:lineRule="exact"/>
        <w:ind w:firstLine="420" w:firstLineChars="200"/>
        <w:contextualSpacing/>
        <w:rPr>
          <w:szCs w:val="21"/>
        </w:rPr>
      </w:pPr>
    </w:p>
    <w:tbl>
      <w:tblPr>
        <w:tblStyle w:val="11"/>
        <w:tblW w:w="9620"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8534" w:type="dxa"/>
            <w:vAlign w:val="top"/>
          </w:tcPr>
          <w:p>
            <w:pPr>
              <w:ind w:left="0" w:leftChars="0" w:right="0" w:rightChars="0" w:firstLine="0" w:firstLineChars="0"/>
              <w:rPr>
                <w:sz w:val="18"/>
                <w:szCs w:val="21"/>
              </w:rPr>
            </w:pPr>
            <w:r>
              <w:rPr>
                <w:rFonts w:hint="eastAsia"/>
                <w:sz w:val="18"/>
                <w:szCs w:val="21"/>
              </w:rPr>
              <w:t>腹部损伤导致胰完全切除</w:t>
            </w:r>
          </w:p>
        </w:tc>
        <w:tc>
          <w:tcPr>
            <w:tcW w:w="1086" w:type="dxa"/>
            <w:vAlign w:val="top"/>
          </w:tcPr>
          <w:p>
            <w:pPr>
              <w:ind w:left="0" w:leftChars="0" w:right="0" w:rightChars="0" w:firstLine="0" w:firstLineChars="0"/>
              <w:jc w:val="center"/>
              <w:rPr>
                <w:sz w:val="18"/>
                <w:szCs w:val="21"/>
              </w:rPr>
            </w:pPr>
            <w:r>
              <w:rPr>
                <w:sz w:val="18"/>
                <w:szCs w:val="21"/>
              </w:rPr>
              <w:t xml:space="preserve">1 </w:t>
            </w:r>
            <w:r>
              <w:rPr>
                <w:rFonts w:hint="eastAsia"/>
                <w:sz w:val="1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8534" w:type="dxa"/>
            <w:vAlign w:val="top"/>
          </w:tcPr>
          <w:p>
            <w:pPr>
              <w:ind w:left="0" w:leftChars="0" w:right="0" w:rightChars="0" w:firstLine="0" w:firstLineChars="0"/>
              <w:rPr>
                <w:sz w:val="18"/>
                <w:szCs w:val="21"/>
              </w:rPr>
            </w:pPr>
            <w:r>
              <w:rPr>
                <w:rFonts w:hint="eastAsia"/>
                <w:sz w:val="18"/>
                <w:szCs w:val="21"/>
              </w:rPr>
              <w:t>腹部损伤导致胰切除大于等于</w:t>
            </w:r>
            <w:r>
              <w:rPr>
                <w:sz w:val="18"/>
                <w:szCs w:val="21"/>
              </w:rPr>
              <w:t>50%，且伴有胰岛素依赖</w:t>
            </w:r>
          </w:p>
        </w:tc>
        <w:tc>
          <w:tcPr>
            <w:tcW w:w="1086" w:type="dxa"/>
            <w:vAlign w:val="top"/>
          </w:tcPr>
          <w:p>
            <w:pPr>
              <w:ind w:left="0" w:leftChars="0" w:right="0" w:rightChars="0" w:firstLine="0" w:firstLineChars="0"/>
              <w:jc w:val="center"/>
              <w:rPr>
                <w:sz w:val="18"/>
                <w:szCs w:val="21"/>
              </w:rPr>
            </w:pPr>
            <w:r>
              <w:rPr>
                <w:sz w:val="18"/>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8534" w:type="dxa"/>
            <w:vAlign w:val="top"/>
          </w:tcPr>
          <w:p>
            <w:pPr>
              <w:ind w:left="0" w:leftChars="0" w:right="0" w:rightChars="0" w:firstLine="0" w:firstLineChars="0"/>
              <w:rPr>
                <w:sz w:val="18"/>
                <w:szCs w:val="21"/>
              </w:rPr>
            </w:pPr>
            <w:r>
              <w:rPr>
                <w:rFonts w:hint="eastAsia"/>
                <w:sz w:val="18"/>
                <w:szCs w:val="21"/>
              </w:rPr>
              <w:t>腹部损伤导致胰头、十二指肠切除</w:t>
            </w:r>
          </w:p>
        </w:tc>
        <w:tc>
          <w:tcPr>
            <w:tcW w:w="1086" w:type="dxa"/>
            <w:vAlign w:val="top"/>
          </w:tcPr>
          <w:p>
            <w:pPr>
              <w:ind w:left="0" w:leftChars="0" w:right="0" w:rightChars="0" w:firstLine="0" w:firstLineChars="0"/>
              <w:jc w:val="center"/>
              <w:rPr>
                <w:sz w:val="18"/>
                <w:szCs w:val="21"/>
              </w:rPr>
            </w:pPr>
            <w:r>
              <w:rPr>
                <w:sz w:val="18"/>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8534" w:type="dxa"/>
            <w:vAlign w:val="top"/>
          </w:tcPr>
          <w:p>
            <w:pPr>
              <w:ind w:left="0" w:leftChars="0" w:right="0" w:rightChars="0" w:firstLine="0" w:firstLineChars="0"/>
              <w:rPr>
                <w:sz w:val="18"/>
                <w:szCs w:val="21"/>
              </w:rPr>
            </w:pPr>
            <w:r>
              <w:rPr>
                <w:rFonts w:hint="eastAsia"/>
                <w:sz w:val="18"/>
                <w:szCs w:val="21"/>
              </w:rPr>
              <w:t>腹部损伤导致胰切除大于等于</w:t>
            </w:r>
            <w:r>
              <w:rPr>
                <w:sz w:val="18"/>
                <w:szCs w:val="21"/>
              </w:rPr>
              <w:t>50%</w:t>
            </w:r>
          </w:p>
        </w:tc>
        <w:tc>
          <w:tcPr>
            <w:tcW w:w="1086" w:type="dxa"/>
            <w:vAlign w:val="top"/>
          </w:tcPr>
          <w:p>
            <w:pPr>
              <w:ind w:left="0" w:leftChars="0" w:right="0" w:rightChars="0" w:firstLine="0" w:firstLineChars="0"/>
              <w:jc w:val="center"/>
              <w:rPr>
                <w:sz w:val="18"/>
                <w:szCs w:val="21"/>
              </w:rPr>
            </w:pPr>
            <w:r>
              <w:rPr>
                <w:sz w:val="18"/>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534" w:type="dxa"/>
            <w:vAlign w:val="top"/>
          </w:tcPr>
          <w:p>
            <w:pPr>
              <w:ind w:left="0" w:leftChars="0" w:right="0" w:rightChars="0" w:firstLine="0" w:firstLineChars="0"/>
              <w:rPr>
                <w:sz w:val="18"/>
                <w:szCs w:val="21"/>
              </w:rPr>
            </w:pPr>
            <w:r>
              <w:rPr>
                <w:rFonts w:hint="eastAsia"/>
                <w:sz w:val="18"/>
                <w:szCs w:val="21"/>
              </w:rPr>
              <w:t>腹部损伤导致胰部分切除</w:t>
            </w:r>
          </w:p>
        </w:tc>
        <w:tc>
          <w:tcPr>
            <w:tcW w:w="1086" w:type="dxa"/>
            <w:vAlign w:val="center"/>
          </w:tcPr>
          <w:p>
            <w:pPr>
              <w:ind w:left="0" w:leftChars="0" w:right="0" w:rightChars="0" w:firstLine="0" w:firstLineChars="0"/>
              <w:jc w:val="center"/>
              <w:rPr>
                <w:sz w:val="18"/>
                <w:szCs w:val="21"/>
              </w:rPr>
            </w:pPr>
            <w:r>
              <w:rPr>
                <w:sz w:val="18"/>
                <w:szCs w:val="21"/>
              </w:rPr>
              <w:t>8级</w:t>
            </w:r>
          </w:p>
        </w:tc>
      </w:tr>
    </w:tbl>
    <w:p>
      <w:pPr>
        <w:spacing w:line="240" w:lineRule="exact"/>
        <w:ind w:firstLine="420" w:firstLineChars="200"/>
        <w:contextualSpacing/>
        <w:rPr>
          <w:szCs w:val="21"/>
        </w:rPr>
      </w:pPr>
    </w:p>
    <w:p>
      <w:pPr>
        <w:pStyle w:val="4"/>
        <w:numPr>
          <w:ilvl w:val="1"/>
          <w:numId w:val="1"/>
        </w:numPr>
        <w:ind w:left="0" w:firstLine="0"/>
        <w:contextualSpacing/>
        <w:rPr>
          <w:sz w:val="18"/>
          <w:szCs w:val="21"/>
        </w:rPr>
      </w:pPr>
      <w:bookmarkStart w:id="39" w:name="_Toc356463488"/>
      <w:r>
        <w:rPr>
          <w:rFonts w:hint="eastAsia"/>
          <w:sz w:val="18"/>
          <w:szCs w:val="21"/>
        </w:rPr>
        <w:t>肝结构损伤</w:t>
      </w:r>
      <w:bookmarkEnd w:id="39"/>
    </w:p>
    <w:p>
      <w:pPr>
        <w:spacing w:line="240" w:lineRule="exact"/>
        <w:ind w:firstLine="420" w:firstLineChars="200"/>
        <w:contextualSpacing/>
        <w:rPr>
          <w:szCs w:val="21"/>
        </w:rPr>
      </w:pPr>
    </w:p>
    <w:tbl>
      <w:tblPr>
        <w:tblStyle w:val="11"/>
        <w:tblW w:w="9640"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8552" w:type="dxa"/>
            <w:vAlign w:val="top"/>
          </w:tcPr>
          <w:p>
            <w:pPr>
              <w:ind w:left="0" w:leftChars="0" w:right="0" w:rightChars="0" w:firstLine="0" w:firstLineChars="0"/>
              <w:rPr>
                <w:sz w:val="18"/>
                <w:szCs w:val="21"/>
              </w:rPr>
            </w:pPr>
            <w:r>
              <w:rPr>
                <w:rFonts w:hint="eastAsia"/>
                <w:sz w:val="18"/>
                <w:szCs w:val="21"/>
              </w:rPr>
              <w:t>腹部损伤导致肝切除大于等于</w:t>
            </w:r>
            <w:r>
              <w:rPr>
                <w:sz w:val="18"/>
                <w:szCs w:val="21"/>
              </w:rPr>
              <w:t>75%</w:t>
            </w:r>
          </w:p>
        </w:tc>
        <w:tc>
          <w:tcPr>
            <w:tcW w:w="1088" w:type="dxa"/>
            <w:vAlign w:val="top"/>
          </w:tcPr>
          <w:p>
            <w:pPr>
              <w:ind w:left="0" w:leftChars="0" w:right="0" w:rightChars="0" w:firstLine="0" w:firstLineChars="0"/>
              <w:jc w:val="center"/>
              <w:rPr>
                <w:sz w:val="18"/>
                <w:szCs w:val="21"/>
              </w:rPr>
            </w:pPr>
            <w:r>
              <w:rPr>
                <w:sz w:val="18"/>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8552" w:type="dxa"/>
            <w:vAlign w:val="top"/>
          </w:tcPr>
          <w:p>
            <w:pPr>
              <w:ind w:left="0" w:leftChars="0" w:right="0" w:rightChars="0" w:firstLine="0" w:firstLineChars="0"/>
              <w:rPr>
                <w:sz w:val="18"/>
                <w:szCs w:val="21"/>
              </w:rPr>
            </w:pPr>
            <w:r>
              <w:rPr>
                <w:rFonts w:hint="eastAsia"/>
                <w:sz w:val="18"/>
                <w:szCs w:val="21"/>
              </w:rPr>
              <w:t>腹部损伤导致肝切除大于等于</w:t>
            </w:r>
            <w:r>
              <w:rPr>
                <w:sz w:val="18"/>
                <w:szCs w:val="21"/>
              </w:rPr>
              <w:t>50%</w:t>
            </w:r>
          </w:p>
        </w:tc>
        <w:tc>
          <w:tcPr>
            <w:tcW w:w="1088" w:type="dxa"/>
            <w:vAlign w:val="top"/>
          </w:tcPr>
          <w:p>
            <w:pPr>
              <w:ind w:left="0" w:leftChars="0" w:right="0" w:rightChars="0" w:firstLine="0" w:firstLineChars="0"/>
              <w:jc w:val="center"/>
              <w:rPr>
                <w:sz w:val="18"/>
                <w:szCs w:val="21"/>
              </w:rPr>
            </w:pPr>
            <w:r>
              <w:rPr>
                <w:sz w:val="18"/>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552" w:type="dxa"/>
            <w:vAlign w:val="top"/>
          </w:tcPr>
          <w:p>
            <w:pPr>
              <w:ind w:left="0" w:leftChars="0" w:right="0" w:rightChars="0" w:firstLine="0" w:firstLineChars="0"/>
              <w:rPr>
                <w:sz w:val="18"/>
                <w:szCs w:val="21"/>
              </w:rPr>
            </w:pPr>
            <w:r>
              <w:rPr>
                <w:rFonts w:hint="eastAsia"/>
                <w:sz w:val="18"/>
                <w:szCs w:val="21"/>
              </w:rPr>
              <w:t>腹部损伤导致肝部分切除</w:t>
            </w:r>
          </w:p>
        </w:tc>
        <w:tc>
          <w:tcPr>
            <w:tcW w:w="1088" w:type="dxa"/>
            <w:vAlign w:val="top"/>
          </w:tcPr>
          <w:p>
            <w:pPr>
              <w:ind w:left="0" w:leftChars="0" w:right="0" w:rightChars="0" w:firstLine="0" w:firstLineChars="0"/>
              <w:jc w:val="center"/>
              <w:rPr>
                <w:sz w:val="18"/>
                <w:szCs w:val="21"/>
              </w:rPr>
            </w:pPr>
            <w:r>
              <w:rPr>
                <w:sz w:val="18"/>
                <w:szCs w:val="21"/>
              </w:rPr>
              <w:t>8级</w:t>
            </w:r>
          </w:p>
        </w:tc>
      </w:tr>
    </w:tbl>
    <w:p>
      <w:pPr>
        <w:spacing w:line="240" w:lineRule="exact"/>
        <w:ind w:firstLine="420" w:firstLineChars="200"/>
        <w:contextualSpacing/>
        <w:rPr>
          <w:szCs w:val="21"/>
        </w:rPr>
      </w:pPr>
    </w:p>
    <w:p>
      <w:pPr>
        <w:pStyle w:val="3"/>
        <w:numPr>
          <w:ilvl w:val="0"/>
          <w:numId w:val="1"/>
        </w:numPr>
        <w:contextualSpacing/>
        <w:rPr>
          <w:rFonts w:ascii="宋体" w:hAnsi="宋体"/>
          <w:sz w:val="18"/>
          <w:szCs w:val="21"/>
        </w:rPr>
      </w:pPr>
      <w:bookmarkStart w:id="40" w:name="_Toc356463489"/>
      <w:r>
        <w:rPr>
          <w:rFonts w:hint="eastAsia" w:ascii="宋体" w:hAnsi="宋体"/>
          <w:sz w:val="18"/>
          <w:szCs w:val="21"/>
        </w:rPr>
        <w:t>泌尿和生殖系统有关的结构和功能</w:t>
      </w:r>
      <w:bookmarkEnd w:id="40"/>
    </w:p>
    <w:p>
      <w:pPr>
        <w:pStyle w:val="4"/>
        <w:numPr>
          <w:ilvl w:val="1"/>
          <w:numId w:val="1"/>
        </w:numPr>
        <w:ind w:left="0" w:firstLine="0"/>
        <w:contextualSpacing/>
        <w:rPr>
          <w:sz w:val="18"/>
          <w:szCs w:val="21"/>
        </w:rPr>
      </w:pPr>
      <w:bookmarkStart w:id="41" w:name="OLE_LINK17"/>
      <w:bookmarkStart w:id="42" w:name="_Toc356463490"/>
      <w:r>
        <w:rPr>
          <w:rFonts w:hint="eastAsia"/>
          <w:sz w:val="18"/>
          <w:szCs w:val="21"/>
        </w:rPr>
        <w:t>泌尿系统</w:t>
      </w:r>
      <w:bookmarkEnd w:id="41"/>
      <w:r>
        <w:rPr>
          <w:rFonts w:hint="eastAsia"/>
          <w:sz w:val="18"/>
          <w:szCs w:val="21"/>
        </w:rPr>
        <w:t>的结构损伤</w:t>
      </w:r>
      <w:bookmarkEnd w:id="42"/>
    </w:p>
    <w:p>
      <w:pPr>
        <w:spacing w:line="240" w:lineRule="exact"/>
        <w:ind w:firstLine="420" w:firstLineChars="200"/>
        <w:contextualSpacing/>
        <w:rPr>
          <w:szCs w:val="21"/>
        </w:rPr>
      </w:pPr>
    </w:p>
    <w:tbl>
      <w:tblPr>
        <w:tblStyle w:val="11"/>
        <w:tblW w:w="9620"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4"/>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534" w:type="dxa"/>
            <w:vAlign w:val="center"/>
          </w:tcPr>
          <w:p>
            <w:pPr>
              <w:ind w:left="0" w:leftChars="0" w:right="0" w:rightChars="0" w:firstLine="0" w:firstLineChars="0"/>
              <w:rPr>
                <w:sz w:val="18"/>
                <w:szCs w:val="21"/>
              </w:rPr>
            </w:pPr>
            <w:r>
              <w:rPr>
                <w:rFonts w:hint="eastAsia"/>
                <w:sz w:val="18"/>
                <w:szCs w:val="21"/>
              </w:rPr>
              <w:t>腹部损伤导致双侧肾切除</w:t>
            </w:r>
          </w:p>
        </w:tc>
        <w:tc>
          <w:tcPr>
            <w:tcW w:w="1086" w:type="dxa"/>
            <w:vAlign w:val="center"/>
          </w:tcPr>
          <w:p>
            <w:pPr>
              <w:ind w:left="0" w:leftChars="0" w:right="0" w:rightChars="0" w:firstLine="0" w:firstLineChars="0"/>
              <w:jc w:val="center"/>
              <w:rPr>
                <w:sz w:val="18"/>
                <w:szCs w:val="21"/>
              </w:rPr>
            </w:pPr>
            <w:r>
              <w:rPr>
                <w:sz w:val="18"/>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534" w:type="dxa"/>
            <w:vAlign w:val="center"/>
          </w:tcPr>
          <w:p>
            <w:pPr>
              <w:ind w:left="0" w:leftChars="0" w:right="0" w:rightChars="0" w:firstLine="0" w:firstLineChars="0"/>
              <w:rPr>
                <w:sz w:val="18"/>
                <w:szCs w:val="21"/>
              </w:rPr>
            </w:pPr>
            <w:r>
              <w:rPr>
                <w:rFonts w:hint="eastAsia"/>
                <w:sz w:val="18"/>
                <w:szCs w:val="21"/>
              </w:rPr>
              <w:t>腹部损伤导致孤肾切除</w:t>
            </w:r>
          </w:p>
        </w:tc>
        <w:tc>
          <w:tcPr>
            <w:tcW w:w="1086" w:type="dxa"/>
            <w:vAlign w:val="center"/>
          </w:tcPr>
          <w:p>
            <w:pPr>
              <w:ind w:left="0" w:leftChars="0" w:right="0" w:rightChars="0" w:firstLine="0" w:firstLineChars="0"/>
              <w:jc w:val="center"/>
              <w:rPr>
                <w:sz w:val="18"/>
                <w:szCs w:val="21"/>
              </w:rPr>
            </w:pPr>
            <w:r>
              <w:rPr>
                <w:sz w:val="18"/>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534" w:type="dxa"/>
            <w:vAlign w:val="center"/>
          </w:tcPr>
          <w:p>
            <w:pPr>
              <w:ind w:left="0" w:leftChars="0" w:right="0" w:rightChars="0" w:firstLine="0" w:firstLineChars="0"/>
              <w:rPr>
                <w:sz w:val="18"/>
                <w:szCs w:val="21"/>
              </w:rPr>
            </w:pPr>
            <w:r>
              <w:rPr>
                <w:rFonts w:hint="eastAsia"/>
                <w:sz w:val="18"/>
                <w:szCs w:val="21"/>
              </w:rPr>
              <w:t>骨盆部损伤导致双侧输尿管缺失</w:t>
            </w:r>
          </w:p>
        </w:tc>
        <w:tc>
          <w:tcPr>
            <w:tcW w:w="1086" w:type="dxa"/>
            <w:vAlign w:val="center"/>
          </w:tcPr>
          <w:p>
            <w:pPr>
              <w:ind w:left="0" w:leftChars="0" w:right="0" w:rightChars="0" w:firstLine="0" w:firstLineChars="0"/>
              <w:jc w:val="center"/>
              <w:rPr>
                <w:sz w:val="18"/>
                <w:szCs w:val="21"/>
              </w:rPr>
            </w:pPr>
            <w:r>
              <w:rPr>
                <w:sz w:val="18"/>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534" w:type="dxa"/>
            <w:vAlign w:val="center"/>
          </w:tcPr>
          <w:p>
            <w:pPr>
              <w:ind w:left="0" w:leftChars="0" w:right="0" w:rightChars="0" w:firstLine="0" w:firstLineChars="0"/>
              <w:rPr>
                <w:sz w:val="18"/>
                <w:szCs w:val="21"/>
              </w:rPr>
            </w:pPr>
            <w:r>
              <w:rPr>
                <w:rFonts w:hint="eastAsia"/>
                <w:sz w:val="18"/>
                <w:szCs w:val="21"/>
              </w:rPr>
              <w:t>骨盆部损伤导致双侧输尿管闭锁</w:t>
            </w:r>
          </w:p>
        </w:tc>
        <w:tc>
          <w:tcPr>
            <w:tcW w:w="1086" w:type="dxa"/>
            <w:vAlign w:val="center"/>
          </w:tcPr>
          <w:p>
            <w:pPr>
              <w:ind w:left="0" w:leftChars="0" w:right="0" w:rightChars="0" w:firstLine="0" w:firstLineChars="0"/>
              <w:jc w:val="center"/>
              <w:rPr>
                <w:sz w:val="18"/>
                <w:szCs w:val="21"/>
              </w:rPr>
            </w:pPr>
            <w:r>
              <w:rPr>
                <w:sz w:val="18"/>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534" w:type="dxa"/>
            <w:vAlign w:val="center"/>
          </w:tcPr>
          <w:p>
            <w:pPr>
              <w:ind w:left="0" w:leftChars="0" w:right="0" w:rightChars="0" w:firstLine="0" w:firstLineChars="0"/>
              <w:rPr>
                <w:rFonts w:hint="eastAsia"/>
                <w:sz w:val="18"/>
                <w:szCs w:val="21"/>
              </w:rPr>
            </w:pPr>
            <w:r>
              <w:rPr>
                <w:rFonts w:hint="eastAsia"/>
                <w:sz w:val="18"/>
                <w:szCs w:val="21"/>
              </w:rPr>
              <w:t>骨盆部损伤导致一侧输尿管缺失，另一侧输尿管闭锁</w:t>
            </w:r>
            <w:r>
              <w:rPr>
                <w:sz w:val="18"/>
                <w:szCs w:val="21"/>
              </w:rPr>
              <w:tab/>
            </w:r>
          </w:p>
        </w:tc>
        <w:tc>
          <w:tcPr>
            <w:tcW w:w="1086" w:type="dxa"/>
            <w:vAlign w:val="center"/>
          </w:tcPr>
          <w:p>
            <w:pPr>
              <w:ind w:left="0" w:leftChars="0" w:right="0" w:rightChars="0" w:firstLine="0" w:firstLineChars="0"/>
              <w:jc w:val="center"/>
              <w:rPr>
                <w:sz w:val="18"/>
                <w:szCs w:val="21"/>
              </w:rPr>
            </w:pPr>
            <w:r>
              <w:rPr>
                <w:sz w:val="18"/>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534" w:type="dxa"/>
            <w:vAlign w:val="center"/>
          </w:tcPr>
          <w:p>
            <w:pPr>
              <w:ind w:left="0" w:leftChars="0" w:right="0" w:rightChars="0" w:firstLine="0" w:firstLineChars="0"/>
              <w:rPr>
                <w:sz w:val="18"/>
                <w:szCs w:val="21"/>
              </w:rPr>
            </w:pPr>
            <w:r>
              <w:rPr>
                <w:rFonts w:hint="eastAsia"/>
                <w:sz w:val="18"/>
                <w:szCs w:val="21"/>
              </w:rPr>
              <w:t>骨盆部损伤导致膀胱切除</w:t>
            </w:r>
          </w:p>
        </w:tc>
        <w:tc>
          <w:tcPr>
            <w:tcW w:w="1086" w:type="dxa"/>
            <w:vAlign w:val="center"/>
          </w:tcPr>
          <w:p>
            <w:pPr>
              <w:ind w:left="0" w:leftChars="0" w:right="0" w:rightChars="0" w:firstLine="0" w:firstLineChars="0"/>
              <w:jc w:val="center"/>
              <w:rPr>
                <w:sz w:val="18"/>
                <w:szCs w:val="21"/>
              </w:rPr>
            </w:pPr>
            <w:r>
              <w:rPr>
                <w:sz w:val="18"/>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534" w:type="dxa"/>
            <w:vAlign w:val="center"/>
          </w:tcPr>
          <w:p>
            <w:pPr>
              <w:ind w:left="0" w:leftChars="0" w:right="0" w:rightChars="0" w:firstLine="0" w:firstLineChars="0"/>
              <w:rPr>
                <w:sz w:val="18"/>
                <w:szCs w:val="21"/>
              </w:rPr>
            </w:pPr>
            <w:r>
              <w:rPr>
                <w:rFonts w:hint="eastAsia"/>
                <w:sz w:val="18"/>
                <w:szCs w:val="21"/>
              </w:rPr>
              <w:t>骨盆部损伤导致尿道闭锁</w:t>
            </w:r>
          </w:p>
        </w:tc>
        <w:tc>
          <w:tcPr>
            <w:tcW w:w="1086" w:type="dxa"/>
            <w:vAlign w:val="center"/>
          </w:tcPr>
          <w:p>
            <w:pPr>
              <w:ind w:left="0" w:leftChars="0" w:right="0" w:rightChars="0" w:firstLine="0" w:firstLineChars="0"/>
              <w:jc w:val="center"/>
              <w:rPr>
                <w:sz w:val="18"/>
                <w:szCs w:val="21"/>
              </w:rPr>
            </w:pPr>
            <w:r>
              <w:rPr>
                <w:sz w:val="18"/>
                <w:szCs w:val="21"/>
              </w:rPr>
              <w:t>5</w:t>
            </w:r>
            <w:r>
              <w:rPr>
                <w:rFonts w:hint="eastAsia"/>
                <w:sz w:val="1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534" w:type="dxa"/>
            <w:vAlign w:val="center"/>
          </w:tcPr>
          <w:p>
            <w:pPr>
              <w:ind w:left="0" w:leftChars="0" w:right="0" w:rightChars="0" w:firstLine="0" w:firstLineChars="0"/>
              <w:rPr>
                <w:sz w:val="18"/>
                <w:szCs w:val="21"/>
              </w:rPr>
            </w:pPr>
            <w:r>
              <w:rPr>
                <w:rFonts w:hint="eastAsia"/>
                <w:sz w:val="18"/>
                <w:szCs w:val="21"/>
              </w:rPr>
              <w:t>骨盆部损伤导致一侧输尿管缺失，另一侧输尿管严重狭窄</w:t>
            </w:r>
          </w:p>
        </w:tc>
        <w:tc>
          <w:tcPr>
            <w:tcW w:w="1086" w:type="dxa"/>
            <w:vAlign w:val="center"/>
          </w:tcPr>
          <w:p>
            <w:pPr>
              <w:ind w:left="0" w:leftChars="0" w:right="0" w:rightChars="0" w:firstLine="0" w:firstLineChars="0"/>
              <w:jc w:val="center"/>
              <w:rPr>
                <w:sz w:val="18"/>
                <w:szCs w:val="21"/>
              </w:rPr>
            </w:pPr>
            <w:r>
              <w:rPr>
                <w:sz w:val="18"/>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534" w:type="dxa"/>
            <w:vAlign w:val="center"/>
          </w:tcPr>
          <w:p>
            <w:pPr>
              <w:ind w:left="0" w:leftChars="0" w:right="0" w:rightChars="0" w:firstLine="0" w:firstLineChars="0"/>
              <w:rPr>
                <w:sz w:val="18"/>
                <w:szCs w:val="21"/>
              </w:rPr>
            </w:pPr>
            <w:r>
              <w:rPr>
                <w:rFonts w:hint="eastAsia"/>
                <w:sz w:val="18"/>
                <w:szCs w:val="21"/>
              </w:rPr>
              <w:t>骨盆部损伤导致一侧输尿管闭锁，另一侧输尿管严重狭窄</w:t>
            </w:r>
          </w:p>
        </w:tc>
        <w:tc>
          <w:tcPr>
            <w:tcW w:w="1086" w:type="dxa"/>
            <w:vAlign w:val="center"/>
          </w:tcPr>
          <w:p>
            <w:pPr>
              <w:ind w:left="0" w:leftChars="0" w:right="0" w:rightChars="0" w:firstLine="0" w:firstLineChars="0"/>
              <w:jc w:val="center"/>
              <w:rPr>
                <w:sz w:val="18"/>
                <w:szCs w:val="21"/>
              </w:rPr>
            </w:pPr>
            <w:r>
              <w:rPr>
                <w:sz w:val="18"/>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534" w:type="dxa"/>
            <w:vAlign w:val="center"/>
          </w:tcPr>
          <w:p>
            <w:pPr>
              <w:ind w:left="0" w:leftChars="0" w:right="0" w:rightChars="0" w:firstLine="0" w:firstLineChars="0"/>
              <w:rPr>
                <w:sz w:val="18"/>
                <w:szCs w:val="21"/>
              </w:rPr>
            </w:pPr>
            <w:r>
              <w:rPr>
                <w:rFonts w:hint="eastAsia"/>
                <w:sz w:val="18"/>
                <w:szCs w:val="21"/>
              </w:rPr>
              <w:t>腹部损伤导致一侧肾切除</w:t>
            </w:r>
          </w:p>
        </w:tc>
        <w:tc>
          <w:tcPr>
            <w:tcW w:w="1086" w:type="dxa"/>
            <w:vAlign w:val="center"/>
          </w:tcPr>
          <w:p>
            <w:pPr>
              <w:ind w:left="0" w:leftChars="0" w:right="0" w:rightChars="0" w:firstLine="0" w:firstLineChars="0"/>
              <w:jc w:val="center"/>
              <w:rPr>
                <w:sz w:val="18"/>
                <w:szCs w:val="21"/>
              </w:rPr>
            </w:pPr>
            <w:r>
              <w:rPr>
                <w:sz w:val="18"/>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534" w:type="dxa"/>
            <w:vAlign w:val="center"/>
          </w:tcPr>
          <w:p>
            <w:pPr>
              <w:ind w:left="0" w:leftChars="0" w:right="0" w:rightChars="0" w:firstLine="0" w:firstLineChars="0"/>
              <w:rPr>
                <w:sz w:val="18"/>
                <w:szCs w:val="21"/>
              </w:rPr>
            </w:pPr>
            <w:r>
              <w:rPr>
                <w:rFonts w:hint="eastAsia"/>
                <w:sz w:val="18"/>
                <w:szCs w:val="21"/>
              </w:rPr>
              <w:t>骨盆部损伤导致双侧输尿管严重狭窄</w:t>
            </w:r>
          </w:p>
        </w:tc>
        <w:tc>
          <w:tcPr>
            <w:tcW w:w="1086" w:type="dxa"/>
            <w:vAlign w:val="center"/>
          </w:tcPr>
          <w:p>
            <w:pPr>
              <w:ind w:left="0" w:leftChars="0" w:right="0" w:rightChars="0" w:firstLine="0" w:firstLineChars="0"/>
              <w:jc w:val="center"/>
              <w:rPr>
                <w:sz w:val="18"/>
                <w:szCs w:val="21"/>
              </w:rPr>
            </w:pPr>
            <w:r>
              <w:rPr>
                <w:sz w:val="18"/>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534" w:type="dxa"/>
            <w:vAlign w:val="center"/>
          </w:tcPr>
          <w:p>
            <w:pPr>
              <w:ind w:left="0" w:leftChars="0" w:right="0" w:rightChars="0" w:firstLine="0" w:firstLineChars="0"/>
              <w:rPr>
                <w:sz w:val="18"/>
                <w:szCs w:val="21"/>
              </w:rPr>
            </w:pPr>
            <w:r>
              <w:rPr>
                <w:rFonts w:hint="eastAsia"/>
                <w:sz w:val="18"/>
                <w:szCs w:val="21"/>
              </w:rPr>
              <w:t>骨盆部损伤导致一侧输尿管缺失，另一侧输尿管狭窄</w:t>
            </w:r>
          </w:p>
        </w:tc>
        <w:tc>
          <w:tcPr>
            <w:tcW w:w="1086" w:type="dxa"/>
            <w:vAlign w:val="center"/>
          </w:tcPr>
          <w:p>
            <w:pPr>
              <w:ind w:left="0" w:leftChars="0" w:right="0" w:rightChars="0" w:firstLine="0" w:firstLineChars="0"/>
              <w:jc w:val="center"/>
              <w:rPr>
                <w:sz w:val="18"/>
                <w:szCs w:val="21"/>
              </w:rPr>
            </w:pPr>
            <w:r>
              <w:rPr>
                <w:sz w:val="18"/>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534" w:type="dxa"/>
            <w:vAlign w:val="center"/>
          </w:tcPr>
          <w:p>
            <w:pPr>
              <w:ind w:left="0" w:leftChars="0" w:right="0" w:rightChars="0" w:firstLine="0" w:firstLineChars="0"/>
              <w:rPr>
                <w:sz w:val="18"/>
                <w:szCs w:val="21"/>
              </w:rPr>
            </w:pPr>
            <w:r>
              <w:rPr>
                <w:rFonts w:hint="eastAsia"/>
                <w:sz w:val="18"/>
                <w:szCs w:val="21"/>
              </w:rPr>
              <w:t>骨盆部损伤导致一侧输尿管闭锁，另一侧输尿管狭窄</w:t>
            </w:r>
          </w:p>
        </w:tc>
        <w:tc>
          <w:tcPr>
            <w:tcW w:w="1086" w:type="dxa"/>
            <w:vAlign w:val="center"/>
          </w:tcPr>
          <w:p>
            <w:pPr>
              <w:ind w:left="0" w:leftChars="0" w:right="0" w:rightChars="0" w:firstLine="0" w:firstLineChars="0"/>
              <w:jc w:val="center"/>
              <w:rPr>
                <w:sz w:val="18"/>
                <w:szCs w:val="21"/>
              </w:rPr>
            </w:pPr>
            <w:r>
              <w:rPr>
                <w:sz w:val="18"/>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534" w:type="dxa"/>
            <w:vAlign w:val="center"/>
          </w:tcPr>
          <w:p>
            <w:pPr>
              <w:ind w:left="0" w:leftChars="0" w:right="0" w:rightChars="0" w:firstLine="0" w:firstLineChars="0"/>
              <w:rPr>
                <w:sz w:val="18"/>
                <w:szCs w:val="21"/>
              </w:rPr>
            </w:pPr>
            <w:r>
              <w:rPr>
                <w:rFonts w:hint="eastAsia"/>
                <w:sz w:val="18"/>
                <w:szCs w:val="21"/>
              </w:rPr>
              <w:t>腹部损伤导致一侧肾部分切除</w:t>
            </w:r>
          </w:p>
        </w:tc>
        <w:tc>
          <w:tcPr>
            <w:tcW w:w="1086" w:type="dxa"/>
            <w:vAlign w:val="center"/>
          </w:tcPr>
          <w:p>
            <w:pPr>
              <w:ind w:left="0" w:leftChars="0" w:right="0" w:rightChars="0" w:firstLine="0" w:firstLineChars="0"/>
              <w:jc w:val="center"/>
              <w:rPr>
                <w:sz w:val="18"/>
                <w:szCs w:val="21"/>
              </w:rPr>
            </w:pPr>
            <w:r>
              <w:rPr>
                <w:sz w:val="18"/>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534" w:type="dxa"/>
            <w:vAlign w:val="center"/>
          </w:tcPr>
          <w:p>
            <w:pPr>
              <w:ind w:left="0" w:leftChars="0" w:right="0" w:rightChars="0" w:firstLine="0" w:firstLineChars="0"/>
              <w:rPr>
                <w:sz w:val="18"/>
                <w:szCs w:val="21"/>
              </w:rPr>
            </w:pPr>
            <w:r>
              <w:rPr>
                <w:rFonts w:hint="eastAsia"/>
                <w:sz w:val="18"/>
                <w:szCs w:val="21"/>
              </w:rPr>
              <w:t>骨盆部损伤导致一侧输尿管缺失</w:t>
            </w:r>
          </w:p>
        </w:tc>
        <w:tc>
          <w:tcPr>
            <w:tcW w:w="1086" w:type="dxa"/>
            <w:vAlign w:val="center"/>
          </w:tcPr>
          <w:p>
            <w:pPr>
              <w:ind w:left="0" w:leftChars="0" w:right="0" w:rightChars="0" w:firstLine="0" w:firstLineChars="0"/>
              <w:jc w:val="center"/>
              <w:rPr>
                <w:sz w:val="18"/>
                <w:szCs w:val="21"/>
              </w:rPr>
            </w:pPr>
            <w:r>
              <w:rPr>
                <w:sz w:val="18"/>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534" w:type="dxa"/>
            <w:vAlign w:val="center"/>
          </w:tcPr>
          <w:p>
            <w:pPr>
              <w:ind w:left="0" w:leftChars="0" w:right="0" w:rightChars="0" w:firstLine="0" w:firstLineChars="0"/>
              <w:rPr>
                <w:sz w:val="18"/>
                <w:szCs w:val="21"/>
              </w:rPr>
            </w:pPr>
            <w:r>
              <w:rPr>
                <w:rFonts w:hint="eastAsia"/>
                <w:sz w:val="18"/>
                <w:szCs w:val="21"/>
              </w:rPr>
              <w:t>骨盆部损伤导致一侧输尿管闭锁</w:t>
            </w:r>
          </w:p>
        </w:tc>
        <w:tc>
          <w:tcPr>
            <w:tcW w:w="1086" w:type="dxa"/>
            <w:vAlign w:val="center"/>
          </w:tcPr>
          <w:p>
            <w:pPr>
              <w:ind w:left="0" w:leftChars="0" w:right="0" w:rightChars="0" w:firstLine="0" w:firstLineChars="0"/>
              <w:jc w:val="center"/>
              <w:rPr>
                <w:sz w:val="18"/>
                <w:szCs w:val="21"/>
              </w:rPr>
            </w:pPr>
            <w:r>
              <w:rPr>
                <w:sz w:val="18"/>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534" w:type="dxa"/>
            <w:vAlign w:val="center"/>
          </w:tcPr>
          <w:p>
            <w:pPr>
              <w:ind w:left="0" w:leftChars="0" w:right="0" w:rightChars="0" w:firstLine="0" w:firstLineChars="0"/>
              <w:rPr>
                <w:sz w:val="18"/>
                <w:szCs w:val="21"/>
              </w:rPr>
            </w:pPr>
            <w:r>
              <w:rPr>
                <w:rFonts w:hint="eastAsia"/>
                <w:sz w:val="18"/>
                <w:szCs w:val="21"/>
              </w:rPr>
              <w:t>骨盆部损伤导致尿道狭窄</w:t>
            </w:r>
          </w:p>
        </w:tc>
        <w:tc>
          <w:tcPr>
            <w:tcW w:w="1086" w:type="dxa"/>
            <w:vAlign w:val="center"/>
          </w:tcPr>
          <w:p>
            <w:pPr>
              <w:ind w:left="0" w:leftChars="0" w:right="0" w:rightChars="0" w:firstLine="0" w:firstLineChars="0"/>
              <w:jc w:val="center"/>
              <w:rPr>
                <w:sz w:val="18"/>
                <w:szCs w:val="21"/>
              </w:rPr>
            </w:pPr>
            <w:r>
              <w:rPr>
                <w:sz w:val="18"/>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534" w:type="dxa"/>
            <w:vAlign w:val="center"/>
          </w:tcPr>
          <w:p>
            <w:pPr>
              <w:ind w:left="0" w:leftChars="0" w:right="0" w:rightChars="0" w:firstLine="0" w:firstLineChars="0"/>
              <w:rPr>
                <w:sz w:val="18"/>
                <w:szCs w:val="21"/>
              </w:rPr>
            </w:pPr>
            <w:r>
              <w:rPr>
                <w:rFonts w:hint="eastAsia"/>
                <w:sz w:val="18"/>
                <w:szCs w:val="21"/>
              </w:rPr>
              <w:t>骨盆部损伤导致膀胱部分切除</w:t>
            </w:r>
          </w:p>
        </w:tc>
        <w:tc>
          <w:tcPr>
            <w:tcW w:w="1086" w:type="dxa"/>
            <w:vAlign w:val="center"/>
          </w:tcPr>
          <w:p>
            <w:pPr>
              <w:ind w:left="0" w:leftChars="0" w:right="0" w:rightChars="0" w:firstLine="0" w:firstLineChars="0"/>
              <w:jc w:val="center"/>
              <w:rPr>
                <w:sz w:val="18"/>
                <w:szCs w:val="21"/>
              </w:rPr>
            </w:pPr>
            <w:r>
              <w:rPr>
                <w:sz w:val="18"/>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534" w:type="dxa"/>
            <w:vAlign w:val="center"/>
          </w:tcPr>
          <w:p>
            <w:pPr>
              <w:ind w:left="0" w:leftChars="0" w:right="0" w:rightChars="0" w:firstLine="0" w:firstLineChars="0"/>
              <w:rPr>
                <w:sz w:val="18"/>
                <w:szCs w:val="21"/>
              </w:rPr>
            </w:pPr>
            <w:r>
              <w:rPr>
                <w:rFonts w:hint="eastAsia"/>
                <w:sz w:val="18"/>
                <w:szCs w:val="21"/>
              </w:rPr>
              <w:t>腹部损伤导致肾破裂修补</w:t>
            </w:r>
          </w:p>
        </w:tc>
        <w:tc>
          <w:tcPr>
            <w:tcW w:w="1086" w:type="dxa"/>
            <w:vAlign w:val="center"/>
          </w:tcPr>
          <w:p>
            <w:pPr>
              <w:ind w:left="0" w:leftChars="0" w:right="0" w:rightChars="0" w:firstLine="0" w:firstLineChars="0"/>
              <w:jc w:val="center"/>
              <w:rPr>
                <w:sz w:val="18"/>
                <w:szCs w:val="21"/>
              </w:rPr>
            </w:pPr>
            <w:r>
              <w:rPr>
                <w:sz w:val="18"/>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534" w:type="dxa"/>
            <w:vAlign w:val="center"/>
          </w:tcPr>
          <w:p>
            <w:pPr>
              <w:ind w:left="0" w:leftChars="0" w:right="0" w:rightChars="0" w:firstLine="0" w:firstLineChars="0"/>
              <w:rPr>
                <w:sz w:val="18"/>
                <w:szCs w:val="21"/>
              </w:rPr>
            </w:pPr>
            <w:r>
              <w:rPr>
                <w:rFonts w:hint="eastAsia"/>
                <w:sz w:val="18"/>
                <w:szCs w:val="21"/>
              </w:rPr>
              <w:t>骨盆部损伤导致一侧输尿管严重狭窄</w:t>
            </w:r>
          </w:p>
        </w:tc>
        <w:tc>
          <w:tcPr>
            <w:tcW w:w="1086" w:type="dxa"/>
            <w:vAlign w:val="center"/>
          </w:tcPr>
          <w:p>
            <w:pPr>
              <w:ind w:left="0" w:leftChars="0" w:right="0" w:rightChars="0" w:firstLine="0" w:firstLineChars="0"/>
              <w:jc w:val="center"/>
              <w:rPr>
                <w:sz w:val="18"/>
                <w:szCs w:val="21"/>
              </w:rPr>
            </w:pPr>
            <w:r>
              <w:rPr>
                <w:sz w:val="18"/>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8534" w:type="dxa"/>
            <w:vAlign w:val="center"/>
          </w:tcPr>
          <w:p>
            <w:pPr>
              <w:ind w:left="0" w:leftChars="0" w:right="0" w:rightChars="0" w:firstLine="0" w:firstLineChars="0"/>
              <w:rPr>
                <w:sz w:val="18"/>
                <w:szCs w:val="21"/>
              </w:rPr>
            </w:pPr>
            <w:r>
              <w:rPr>
                <w:rFonts w:hint="eastAsia"/>
                <w:sz w:val="18"/>
                <w:szCs w:val="21"/>
              </w:rPr>
              <w:t>骨盆部损伤导致膀胱破裂修补</w:t>
            </w:r>
          </w:p>
        </w:tc>
        <w:tc>
          <w:tcPr>
            <w:tcW w:w="1086" w:type="dxa"/>
            <w:vAlign w:val="center"/>
          </w:tcPr>
          <w:p>
            <w:pPr>
              <w:ind w:left="0" w:leftChars="0" w:right="0" w:rightChars="0" w:firstLine="0" w:firstLineChars="0"/>
              <w:jc w:val="center"/>
              <w:rPr>
                <w:sz w:val="18"/>
                <w:szCs w:val="21"/>
              </w:rPr>
            </w:pPr>
            <w:r>
              <w:rPr>
                <w:sz w:val="18"/>
                <w:szCs w:val="21"/>
              </w:rPr>
              <w:t>10级</w:t>
            </w:r>
          </w:p>
        </w:tc>
      </w:tr>
    </w:tbl>
    <w:p>
      <w:pPr>
        <w:spacing w:line="240" w:lineRule="exact"/>
        <w:ind w:firstLine="420" w:firstLineChars="200"/>
        <w:contextualSpacing/>
        <w:rPr>
          <w:szCs w:val="21"/>
        </w:rPr>
      </w:pPr>
    </w:p>
    <w:p>
      <w:pPr>
        <w:pStyle w:val="4"/>
        <w:numPr>
          <w:ilvl w:val="1"/>
          <w:numId w:val="1"/>
        </w:numPr>
        <w:ind w:left="0" w:firstLine="0"/>
        <w:contextualSpacing/>
        <w:rPr>
          <w:sz w:val="18"/>
          <w:szCs w:val="21"/>
        </w:rPr>
      </w:pPr>
      <w:bookmarkStart w:id="43" w:name="_Toc356463491"/>
      <w:r>
        <w:rPr>
          <w:rFonts w:hint="eastAsia"/>
          <w:sz w:val="18"/>
          <w:szCs w:val="21"/>
        </w:rPr>
        <w:t>生殖系统的结构损伤</w:t>
      </w:r>
      <w:bookmarkEnd w:id="43"/>
    </w:p>
    <w:p>
      <w:pPr>
        <w:spacing w:line="240" w:lineRule="exact"/>
        <w:ind w:firstLine="420" w:firstLineChars="200"/>
        <w:contextualSpacing/>
        <w:rPr>
          <w:szCs w:val="21"/>
        </w:rPr>
      </w:pPr>
    </w:p>
    <w:tbl>
      <w:tblPr>
        <w:tblStyle w:val="11"/>
        <w:tblW w:w="9660" w:type="dxa"/>
        <w:jc w:val="center"/>
        <w:tblInd w:w="-34" w:type="dxa"/>
        <w:tblLayout w:type="fixed"/>
        <w:tblCellMar>
          <w:top w:w="0" w:type="dxa"/>
          <w:left w:w="108" w:type="dxa"/>
          <w:bottom w:w="0" w:type="dxa"/>
          <w:right w:w="108" w:type="dxa"/>
        </w:tblCellMar>
      </w:tblPr>
      <w:tblGrid>
        <w:gridCol w:w="8570"/>
        <w:gridCol w:w="1090"/>
      </w:tblGrid>
      <w:tr>
        <w:tblPrEx>
          <w:tblLayout w:type="fixed"/>
          <w:tblCellMar>
            <w:top w:w="0" w:type="dxa"/>
            <w:left w:w="108" w:type="dxa"/>
            <w:bottom w:w="0" w:type="dxa"/>
            <w:right w:w="108" w:type="dxa"/>
          </w:tblCellMar>
        </w:tblPrEx>
        <w:trPr>
          <w:trHeight w:val="316" w:hRule="atLeast"/>
          <w:jc w:val="center"/>
        </w:trPr>
        <w:tc>
          <w:tcPr>
            <w:tcW w:w="8570" w:type="dxa"/>
            <w:tcBorders>
              <w:top w:val="single" w:color="auto" w:sz="4" w:space="0"/>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会阴部损伤导致双侧睾丸缺失</w:t>
            </w:r>
          </w:p>
        </w:tc>
        <w:tc>
          <w:tcPr>
            <w:tcW w:w="1090" w:type="dxa"/>
            <w:tcBorders>
              <w:top w:val="single" w:color="auto" w:sz="4" w:space="0"/>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3级</w:t>
            </w:r>
          </w:p>
        </w:tc>
      </w:tr>
      <w:tr>
        <w:tblPrEx>
          <w:tblLayout w:type="fixed"/>
          <w:tblCellMar>
            <w:top w:w="0" w:type="dxa"/>
            <w:left w:w="108" w:type="dxa"/>
            <w:bottom w:w="0" w:type="dxa"/>
            <w:right w:w="108" w:type="dxa"/>
          </w:tblCellMar>
        </w:tblPrEx>
        <w:trPr>
          <w:trHeight w:val="316" w:hRule="atLeast"/>
          <w:jc w:val="center"/>
        </w:trPr>
        <w:tc>
          <w:tcPr>
            <w:tcW w:w="8570" w:type="dxa"/>
            <w:tcBorders>
              <w:top w:val="single" w:color="auto" w:sz="4" w:space="0"/>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会阴部损伤导致双侧睾丸完全萎缩</w:t>
            </w:r>
          </w:p>
        </w:tc>
        <w:tc>
          <w:tcPr>
            <w:tcW w:w="1090" w:type="dxa"/>
            <w:tcBorders>
              <w:top w:val="single" w:color="auto" w:sz="4" w:space="0"/>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3级</w:t>
            </w:r>
          </w:p>
        </w:tc>
      </w:tr>
      <w:tr>
        <w:tblPrEx>
          <w:tblLayout w:type="fixed"/>
          <w:tblCellMar>
            <w:top w:w="0" w:type="dxa"/>
            <w:left w:w="108" w:type="dxa"/>
            <w:bottom w:w="0" w:type="dxa"/>
            <w:right w:w="108" w:type="dxa"/>
          </w:tblCellMar>
        </w:tblPrEx>
        <w:trPr>
          <w:trHeight w:val="316" w:hRule="atLeast"/>
          <w:jc w:val="center"/>
        </w:trPr>
        <w:tc>
          <w:tcPr>
            <w:tcW w:w="8570" w:type="dxa"/>
            <w:tcBorders>
              <w:top w:val="single" w:color="auto" w:sz="4" w:space="0"/>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会阴部损伤导致一侧睾丸缺失，另一侧睾丸完全萎缩</w:t>
            </w:r>
          </w:p>
        </w:tc>
        <w:tc>
          <w:tcPr>
            <w:tcW w:w="1090" w:type="dxa"/>
            <w:tcBorders>
              <w:top w:val="single" w:color="auto" w:sz="4" w:space="0"/>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3级</w:t>
            </w:r>
          </w:p>
        </w:tc>
      </w:tr>
      <w:tr>
        <w:tblPrEx>
          <w:tblLayout w:type="fixed"/>
          <w:tblCellMar>
            <w:top w:w="0" w:type="dxa"/>
            <w:left w:w="108" w:type="dxa"/>
            <w:bottom w:w="0" w:type="dxa"/>
            <w:right w:w="108" w:type="dxa"/>
          </w:tblCellMar>
        </w:tblPrEx>
        <w:trPr>
          <w:trHeight w:val="316" w:hRule="atLeast"/>
          <w:jc w:val="center"/>
        </w:trPr>
        <w:tc>
          <w:tcPr>
            <w:tcW w:w="8570" w:type="dxa"/>
            <w:tcBorders>
              <w:top w:val="single" w:color="auto" w:sz="4" w:space="0"/>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会阴部损伤导致阴茎体完全缺失</w:t>
            </w:r>
          </w:p>
        </w:tc>
        <w:tc>
          <w:tcPr>
            <w:tcW w:w="1090" w:type="dxa"/>
            <w:tcBorders>
              <w:top w:val="single" w:color="auto" w:sz="4" w:space="0"/>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4级</w:t>
            </w:r>
          </w:p>
        </w:tc>
      </w:tr>
      <w:tr>
        <w:tblPrEx>
          <w:tblLayout w:type="fixed"/>
          <w:tblCellMar>
            <w:top w:w="0" w:type="dxa"/>
            <w:left w:w="108" w:type="dxa"/>
            <w:bottom w:w="0" w:type="dxa"/>
            <w:right w:w="108" w:type="dxa"/>
          </w:tblCellMar>
        </w:tblPrEx>
        <w:trPr>
          <w:trHeight w:val="316" w:hRule="atLeast"/>
          <w:jc w:val="center"/>
        </w:trPr>
        <w:tc>
          <w:tcPr>
            <w:tcW w:w="8570" w:type="dxa"/>
            <w:tcBorders>
              <w:top w:val="single" w:color="auto" w:sz="4" w:space="0"/>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会阴部损伤导致阴道闭锁</w:t>
            </w:r>
          </w:p>
        </w:tc>
        <w:tc>
          <w:tcPr>
            <w:tcW w:w="1090" w:type="dxa"/>
            <w:tcBorders>
              <w:top w:val="single" w:color="auto" w:sz="4" w:space="0"/>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Layout w:type="fixed"/>
          <w:tblCellMar>
            <w:top w:w="0" w:type="dxa"/>
            <w:left w:w="108" w:type="dxa"/>
            <w:bottom w:w="0" w:type="dxa"/>
            <w:right w:w="108" w:type="dxa"/>
          </w:tblCellMar>
        </w:tblPrEx>
        <w:trPr>
          <w:trHeight w:val="316" w:hRule="atLeast"/>
          <w:jc w:val="center"/>
        </w:trPr>
        <w:tc>
          <w:tcPr>
            <w:tcW w:w="8570" w:type="dxa"/>
            <w:tcBorders>
              <w:top w:val="single" w:color="auto" w:sz="4" w:space="0"/>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会阴部损伤导致阴茎体缺失大于50%</w:t>
            </w:r>
          </w:p>
        </w:tc>
        <w:tc>
          <w:tcPr>
            <w:tcW w:w="1090" w:type="dxa"/>
            <w:tcBorders>
              <w:top w:val="single" w:color="auto" w:sz="4" w:space="0"/>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Layout w:type="fixed"/>
          <w:tblCellMar>
            <w:top w:w="0" w:type="dxa"/>
            <w:left w:w="108" w:type="dxa"/>
            <w:bottom w:w="0" w:type="dxa"/>
            <w:right w:w="108" w:type="dxa"/>
          </w:tblCellMar>
        </w:tblPrEx>
        <w:trPr>
          <w:trHeight w:val="316" w:hRule="atLeast"/>
          <w:jc w:val="center"/>
        </w:trPr>
        <w:tc>
          <w:tcPr>
            <w:tcW w:w="8570" w:type="dxa"/>
            <w:tcBorders>
              <w:top w:val="single" w:color="auto" w:sz="4" w:space="0"/>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会阴部损伤导致双侧输精管缺失</w:t>
            </w:r>
          </w:p>
        </w:tc>
        <w:tc>
          <w:tcPr>
            <w:tcW w:w="1090" w:type="dxa"/>
            <w:tcBorders>
              <w:top w:val="single" w:color="auto" w:sz="4" w:space="0"/>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6级</w:t>
            </w:r>
          </w:p>
        </w:tc>
      </w:tr>
      <w:tr>
        <w:tblPrEx>
          <w:tblLayout w:type="fixed"/>
          <w:tblCellMar>
            <w:top w:w="0" w:type="dxa"/>
            <w:left w:w="108" w:type="dxa"/>
            <w:bottom w:w="0" w:type="dxa"/>
            <w:right w:w="108" w:type="dxa"/>
          </w:tblCellMar>
        </w:tblPrEx>
        <w:trPr>
          <w:trHeight w:val="316" w:hRule="atLeast"/>
          <w:jc w:val="center"/>
        </w:trPr>
        <w:tc>
          <w:tcPr>
            <w:tcW w:w="8570" w:type="dxa"/>
            <w:tcBorders>
              <w:top w:val="single" w:color="auto" w:sz="4" w:space="0"/>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会阴部损伤导致双侧输精管闭锁</w:t>
            </w:r>
          </w:p>
        </w:tc>
        <w:tc>
          <w:tcPr>
            <w:tcW w:w="1090" w:type="dxa"/>
            <w:tcBorders>
              <w:top w:val="single" w:color="auto" w:sz="4" w:space="0"/>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6级</w:t>
            </w:r>
          </w:p>
        </w:tc>
      </w:tr>
      <w:tr>
        <w:tblPrEx>
          <w:tblLayout w:type="fixed"/>
          <w:tblCellMar>
            <w:top w:w="0" w:type="dxa"/>
            <w:left w:w="108" w:type="dxa"/>
            <w:bottom w:w="0" w:type="dxa"/>
            <w:right w:w="108" w:type="dxa"/>
          </w:tblCellMar>
        </w:tblPrEx>
        <w:trPr>
          <w:trHeight w:val="316" w:hRule="atLeast"/>
          <w:jc w:val="center"/>
        </w:trPr>
        <w:tc>
          <w:tcPr>
            <w:tcW w:w="8570" w:type="dxa"/>
            <w:tcBorders>
              <w:top w:val="single" w:color="auto" w:sz="4" w:space="0"/>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会阴部损伤导致一侧输精管缺失，另一侧输精管闭锁</w:t>
            </w:r>
          </w:p>
        </w:tc>
        <w:tc>
          <w:tcPr>
            <w:tcW w:w="1090" w:type="dxa"/>
            <w:tcBorders>
              <w:top w:val="single" w:color="auto" w:sz="4" w:space="0"/>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6级</w:t>
            </w:r>
          </w:p>
        </w:tc>
      </w:tr>
      <w:tr>
        <w:tblPrEx>
          <w:tblLayout w:type="fixed"/>
          <w:tblCellMar>
            <w:top w:w="0" w:type="dxa"/>
            <w:left w:w="108" w:type="dxa"/>
            <w:bottom w:w="0" w:type="dxa"/>
            <w:right w:w="108" w:type="dxa"/>
          </w:tblCellMar>
        </w:tblPrEx>
        <w:trPr>
          <w:trHeight w:val="316" w:hRule="atLeast"/>
          <w:jc w:val="center"/>
        </w:trPr>
        <w:tc>
          <w:tcPr>
            <w:tcW w:w="8570" w:type="dxa"/>
            <w:tcBorders>
              <w:top w:val="single" w:color="auto" w:sz="4" w:space="0"/>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胸部损伤导致女性双侧乳房缺失</w:t>
            </w:r>
          </w:p>
        </w:tc>
        <w:tc>
          <w:tcPr>
            <w:tcW w:w="1090" w:type="dxa"/>
            <w:tcBorders>
              <w:top w:val="single" w:color="auto" w:sz="4" w:space="0"/>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r>
        <w:tblPrEx>
          <w:tblLayout w:type="fixed"/>
          <w:tblCellMar>
            <w:top w:w="0" w:type="dxa"/>
            <w:left w:w="108" w:type="dxa"/>
            <w:bottom w:w="0" w:type="dxa"/>
            <w:right w:w="108" w:type="dxa"/>
          </w:tblCellMar>
        </w:tblPrEx>
        <w:trPr>
          <w:trHeight w:val="316" w:hRule="atLeast"/>
          <w:jc w:val="center"/>
        </w:trPr>
        <w:tc>
          <w:tcPr>
            <w:tcW w:w="8570" w:type="dxa"/>
            <w:tcBorders>
              <w:top w:val="single" w:color="auto" w:sz="4" w:space="0"/>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骨盆部损伤导致子宫切除</w:t>
            </w:r>
          </w:p>
        </w:tc>
        <w:tc>
          <w:tcPr>
            <w:tcW w:w="1090" w:type="dxa"/>
            <w:tcBorders>
              <w:top w:val="single" w:color="auto" w:sz="4" w:space="0"/>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r>
        <w:tblPrEx>
          <w:tblLayout w:type="fixed"/>
          <w:tblCellMar>
            <w:top w:w="0" w:type="dxa"/>
            <w:left w:w="108" w:type="dxa"/>
            <w:bottom w:w="0" w:type="dxa"/>
            <w:right w:w="108" w:type="dxa"/>
          </w:tblCellMar>
        </w:tblPrEx>
        <w:trPr>
          <w:trHeight w:val="316" w:hRule="atLeast"/>
          <w:jc w:val="center"/>
        </w:trPr>
        <w:tc>
          <w:tcPr>
            <w:tcW w:w="8570" w:type="dxa"/>
            <w:tcBorders>
              <w:top w:val="single" w:color="auto" w:sz="4" w:space="0"/>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胸部损伤导致女性一侧乳房缺失，另一侧乳房部分缺失</w:t>
            </w:r>
          </w:p>
        </w:tc>
        <w:tc>
          <w:tcPr>
            <w:tcW w:w="1090" w:type="dxa"/>
            <w:tcBorders>
              <w:top w:val="single" w:color="auto" w:sz="4" w:space="0"/>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Layout w:type="fixed"/>
          <w:tblCellMar>
            <w:top w:w="0" w:type="dxa"/>
            <w:left w:w="108" w:type="dxa"/>
            <w:bottom w:w="0" w:type="dxa"/>
            <w:right w:w="108" w:type="dxa"/>
          </w:tblCellMar>
        </w:tblPrEx>
        <w:trPr>
          <w:trHeight w:val="316" w:hRule="atLeast"/>
          <w:jc w:val="center"/>
        </w:trPr>
        <w:tc>
          <w:tcPr>
            <w:tcW w:w="8570" w:type="dxa"/>
            <w:tcBorders>
              <w:top w:val="single" w:color="auto" w:sz="4" w:space="0"/>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胸部损伤导致女性一侧乳房缺失</w:t>
            </w:r>
          </w:p>
        </w:tc>
        <w:tc>
          <w:tcPr>
            <w:tcW w:w="1090" w:type="dxa"/>
            <w:tcBorders>
              <w:top w:val="single" w:color="auto" w:sz="4" w:space="0"/>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r>
        <w:tblPrEx>
          <w:tblLayout w:type="fixed"/>
          <w:tblCellMar>
            <w:top w:w="0" w:type="dxa"/>
            <w:left w:w="108" w:type="dxa"/>
            <w:bottom w:w="0" w:type="dxa"/>
            <w:right w:w="108" w:type="dxa"/>
          </w:tblCellMar>
        </w:tblPrEx>
        <w:trPr>
          <w:trHeight w:val="316" w:hRule="atLeast"/>
          <w:jc w:val="center"/>
        </w:trPr>
        <w:tc>
          <w:tcPr>
            <w:tcW w:w="8570"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骨盆部损伤导致子宫部分切除</w:t>
            </w:r>
          </w:p>
        </w:tc>
        <w:tc>
          <w:tcPr>
            <w:tcW w:w="1090" w:type="dxa"/>
            <w:tcBorders>
              <w:top w:val="single" w:color="auto" w:sz="4" w:space="0"/>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r>
        <w:tblPrEx>
          <w:tblLayout w:type="fixed"/>
          <w:tblCellMar>
            <w:top w:w="0" w:type="dxa"/>
            <w:left w:w="108" w:type="dxa"/>
            <w:bottom w:w="0" w:type="dxa"/>
            <w:right w:w="108" w:type="dxa"/>
          </w:tblCellMar>
        </w:tblPrEx>
        <w:trPr>
          <w:trHeight w:val="316" w:hRule="atLeast"/>
          <w:jc w:val="center"/>
        </w:trPr>
        <w:tc>
          <w:tcPr>
            <w:tcW w:w="8570"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骨盆部损伤导致子宫破裂修补</w:t>
            </w:r>
          </w:p>
        </w:tc>
        <w:tc>
          <w:tcPr>
            <w:tcW w:w="1090" w:type="dxa"/>
            <w:tcBorders>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r>
        <w:tblPrEx>
          <w:tblLayout w:type="fixed"/>
          <w:tblCellMar>
            <w:top w:w="0" w:type="dxa"/>
            <w:left w:w="108" w:type="dxa"/>
            <w:bottom w:w="0" w:type="dxa"/>
            <w:right w:w="108" w:type="dxa"/>
          </w:tblCellMar>
        </w:tblPrEx>
        <w:trPr>
          <w:trHeight w:val="316" w:hRule="atLeast"/>
          <w:jc w:val="center"/>
        </w:trPr>
        <w:tc>
          <w:tcPr>
            <w:tcW w:w="8570"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会阴部损伤导致一侧睾丸缺失</w:t>
            </w:r>
          </w:p>
        </w:tc>
        <w:tc>
          <w:tcPr>
            <w:tcW w:w="1090" w:type="dxa"/>
            <w:tcBorders>
              <w:top w:val="nil"/>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r>
        <w:tblPrEx>
          <w:tblLayout w:type="fixed"/>
          <w:tblCellMar>
            <w:top w:w="0" w:type="dxa"/>
            <w:left w:w="108" w:type="dxa"/>
            <w:bottom w:w="0" w:type="dxa"/>
            <w:right w:w="108" w:type="dxa"/>
          </w:tblCellMar>
        </w:tblPrEx>
        <w:trPr>
          <w:trHeight w:val="316" w:hRule="atLeast"/>
          <w:jc w:val="center"/>
        </w:trPr>
        <w:tc>
          <w:tcPr>
            <w:tcW w:w="8570"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会阴部损伤导致一侧睾丸完全萎缩</w:t>
            </w:r>
          </w:p>
        </w:tc>
        <w:tc>
          <w:tcPr>
            <w:tcW w:w="1090" w:type="dxa"/>
            <w:tcBorders>
              <w:top w:val="nil"/>
              <w:left w:val="nil"/>
              <w:bottom w:val="single" w:color="auto" w:sz="4" w:space="0"/>
              <w:right w:val="single" w:color="auto" w:sz="4" w:space="0"/>
            </w:tcBorders>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r>
        <w:tblPrEx>
          <w:tblLayout w:type="fixed"/>
          <w:tblCellMar>
            <w:top w:w="0" w:type="dxa"/>
            <w:left w:w="108" w:type="dxa"/>
            <w:bottom w:w="0" w:type="dxa"/>
            <w:right w:w="108" w:type="dxa"/>
          </w:tblCellMar>
        </w:tblPrEx>
        <w:trPr>
          <w:trHeight w:val="316" w:hRule="atLeast"/>
          <w:jc w:val="center"/>
        </w:trPr>
        <w:tc>
          <w:tcPr>
            <w:tcW w:w="8570"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会阴部损伤导致一侧输精管缺失</w:t>
            </w:r>
          </w:p>
        </w:tc>
        <w:tc>
          <w:tcPr>
            <w:tcW w:w="1090" w:type="dxa"/>
            <w:tcBorders>
              <w:top w:val="nil"/>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r>
        <w:tblPrEx>
          <w:tblLayout w:type="fixed"/>
          <w:tblCellMar>
            <w:top w:w="0" w:type="dxa"/>
            <w:left w:w="108" w:type="dxa"/>
            <w:bottom w:w="0" w:type="dxa"/>
            <w:right w:w="108" w:type="dxa"/>
          </w:tblCellMar>
        </w:tblPrEx>
        <w:trPr>
          <w:trHeight w:val="326" w:hRule="atLeast"/>
          <w:jc w:val="center"/>
        </w:trPr>
        <w:tc>
          <w:tcPr>
            <w:tcW w:w="8570"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会阴部损伤导致一侧输精管闭锁</w:t>
            </w:r>
          </w:p>
        </w:tc>
        <w:tc>
          <w:tcPr>
            <w:tcW w:w="1090" w:type="dxa"/>
            <w:tcBorders>
              <w:top w:val="nil"/>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bl>
    <w:p>
      <w:pPr>
        <w:spacing w:line="240" w:lineRule="exact"/>
        <w:ind w:firstLine="420" w:firstLineChars="200"/>
        <w:contextualSpacing/>
        <w:rPr>
          <w:szCs w:val="21"/>
        </w:rPr>
      </w:pPr>
    </w:p>
    <w:p>
      <w:pPr>
        <w:pStyle w:val="3"/>
        <w:numPr>
          <w:ilvl w:val="0"/>
          <w:numId w:val="1"/>
        </w:numPr>
        <w:contextualSpacing/>
        <w:rPr>
          <w:rFonts w:ascii="宋体" w:hAnsi="宋体"/>
          <w:sz w:val="21"/>
          <w:szCs w:val="21"/>
        </w:rPr>
      </w:pPr>
      <w:bookmarkStart w:id="44" w:name="_Toc356463492"/>
      <w:r>
        <w:rPr>
          <w:rFonts w:hint="eastAsia" w:ascii="宋体" w:hAnsi="宋体"/>
          <w:sz w:val="21"/>
          <w:szCs w:val="21"/>
        </w:rPr>
        <w:t>神经肌肉骨骼和运动有关的结构和功能</w:t>
      </w:r>
      <w:bookmarkEnd w:id="44"/>
    </w:p>
    <w:p>
      <w:pPr>
        <w:pStyle w:val="4"/>
        <w:numPr>
          <w:ilvl w:val="1"/>
          <w:numId w:val="1"/>
        </w:numPr>
        <w:ind w:left="0" w:firstLine="0"/>
        <w:contextualSpacing/>
        <w:rPr>
          <w:sz w:val="21"/>
          <w:szCs w:val="21"/>
        </w:rPr>
      </w:pPr>
      <w:bookmarkStart w:id="45" w:name="_Toc356463493"/>
      <w:r>
        <w:rPr>
          <w:rFonts w:hint="eastAsia"/>
          <w:sz w:val="21"/>
          <w:szCs w:val="21"/>
        </w:rPr>
        <w:t>头颈部的结构损伤</w:t>
      </w:r>
      <w:bookmarkEnd w:id="45"/>
    </w:p>
    <w:p>
      <w:pPr>
        <w:spacing w:line="240" w:lineRule="exact"/>
        <w:ind w:firstLine="420" w:firstLineChars="200"/>
        <w:contextualSpacing/>
        <w:rPr>
          <w:szCs w:val="21"/>
        </w:rPr>
      </w:pPr>
    </w:p>
    <w:tbl>
      <w:tblPr>
        <w:tblStyle w:val="11"/>
        <w:tblW w:w="9640"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双侧上颌骨完全缺失</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双侧下颌骨完全缺失</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一侧上颌骨及对侧下颌骨完全缺失</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同侧上、下颌骨完全缺失</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上颌骨、下颌骨缺损，且牙齿脱落大于等于24枚</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一侧上颌骨完全缺失</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一侧下颌骨完全缺失</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一侧上颌骨缺损大于等于50%，且口腔、颜面部软组织缺损大于20cm2</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一侧下颌骨缺损大于等于6cm，且口腔、颜面部软组织缺损大于20cm2</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面颊部洞穿性缺损大于20cm2</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上颌骨、下颌骨缺损，且牙齿脱落大于等于20枚</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一侧上颌骨缺损大于25%，小于50%，且口腔、颜面部软组织缺损大于10cm2</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一侧下颌骨缺损大于等于4cm，且口腔、颜面部软组织缺损大于10cm2</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一侧上颌骨缺损等于25%，且口腔、颜面部软组织缺损大于10cm2</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面部软组织缺损大于20cm2，且伴发涎瘘</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上颌骨、下颌骨缺损，且牙齿脱落大于等于16枚</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上颌骨、下颌骨缺损，且牙齿脱落大于等于12枚</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上颌骨、下颌骨缺损，且牙齿脱落大于等于8枚</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上颌骨、下颌骨缺损，且牙齿脱落大于等于4枚</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颅骨缺损大于等于6cm2</w:t>
            </w:r>
          </w:p>
        </w:tc>
        <w:tc>
          <w:tcPr>
            <w:tcW w:w="1088"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bl>
    <w:p>
      <w:pPr>
        <w:spacing w:line="240" w:lineRule="exact"/>
        <w:ind w:firstLine="420" w:firstLineChars="200"/>
        <w:contextualSpacing/>
        <w:rPr>
          <w:szCs w:val="21"/>
        </w:rPr>
      </w:pPr>
    </w:p>
    <w:p>
      <w:pPr>
        <w:pStyle w:val="4"/>
        <w:numPr>
          <w:ilvl w:val="1"/>
          <w:numId w:val="1"/>
        </w:numPr>
        <w:ind w:left="0" w:firstLine="0"/>
        <w:contextualSpacing/>
        <w:rPr>
          <w:sz w:val="21"/>
          <w:szCs w:val="21"/>
        </w:rPr>
      </w:pPr>
      <w:bookmarkStart w:id="46" w:name="_Toc356463494"/>
      <w:r>
        <w:rPr>
          <w:rFonts w:hint="eastAsia"/>
          <w:sz w:val="21"/>
          <w:szCs w:val="21"/>
        </w:rPr>
        <w:t>头颈部关节功能障碍</w:t>
      </w:r>
      <w:bookmarkEnd w:id="46"/>
    </w:p>
    <w:p>
      <w:pPr>
        <w:spacing w:line="240" w:lineRule="exact"/>
        <w:ind w:firstLine="420" w:firstLineChars="200"/>
        <w:contextualSpacing/>
        <w:rPr>
          <w:szCs w:val="21"/>
        </w:rPr>
      </w:pPr>
    </w:p>
    <w:tbl>
      <w:tblPr>
        <w:tblStyle w:val="11"/>
        <w:tblW w:w="9580"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9"/>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499" w:type="dxa"/>
            <w:vAlign w:val="center"/>
          </w:tcPr>
          <w:p>
            <w:pPr>
              <w:ind w:left="0" w:leftChars="0" w:right="0" w:rightChars="0" w:firstLine="0" w:firstLineChars="0"/>
              <w:rPr>
                <w:sz w:val="18"/>
                <w:szCs w:val="21"/>
              </w:rPr>
            </w:pPr>
            <w:r>
              <w:rPr>
                <w:rFonts w:hint="eastAsia"/>
                <w:sz w:val="18"/>
                <w:szCs w:val="21"/>
              </w:rPr>
              <w:t>单侧颞下颌关节强直，张口困难Ⅲ度</w:t>
            </w:r>
          </w:p>
        </w:tc>
        <w:tc>
          <w:tcPr>
            <w:tcW w:w="1081" w:type="dxa"/>
            <w:vAlign w:val="center"/>
          </w:tcPr>
          <w:p>
            <w:pPr>
              <w:ind w:left="0" w:leftChars="0" w:right="0" w:rightChars="0" w:firstLine="0" w:firstLineChars="0"/>
              <w:jc w:val="center"/>
              <w:rPr>
                <w:sz w:val="18"/>
                <w:szCs w:val="21"/>
              </w:rPr>
            </w:pPr>
            <w:r>
              <w:rPr>
                <w:sz w:val="18"/>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499" w:type="dxa"/>
            <w:vAlign w:val="center"/>
          </w:tcPr>
          <w:p>
            <w:pPr>
              <w:ind w:left="0" w:leftChars="0" w:right="0" w:rightChars="0" w:firstLine="0" w:firstLineChars="0"/>
              <w:rPr>
                <w:sz w:val="18"/>
                <w:szCs w:val="21"/>
              </w:rPr>
            </w:pPr>
            <w:r>
              <w:rPr>
                <w:rFonts w:hint="eastAsia"/>
                <w:sz w:val="18"/>
                <w:szCs w:val="21"/>
              </w:rPr>
              <w:t>双侧颞下颌关节强直，张口困难Ⅲ度</w:t>
            </w:r>
          </w:p>
        </w:tc>
        <w:tc>
          <w:tcPr>
            <w:tcW w:w="1081" w:type="dxa"/>
            <w:vAlign w:val="center"/>
          </w:tcPr>
          <w:p>
            <w:pPr>
              <w:ind w:left="0" w:leftChars="0" w:right="0" w:rightChars="0" w:firstLine="0" w:firstLineChars="0"/>
              <w:jc w:val="center"/>
              <w:rPr>
                <w:sz w:val="18"/>
                <w:szCs w:val="21"/>
              </w:rPr>
            </w:pPr>
            <w:r>
              <w:rPr>
                <w:sz w:val="18"/>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499" w:type="dxa"/>
            <w:vAlign w:val="center"/>
          </w:tcPr>
          <w:p>
            <w:pPr>
              <w:ind w:left="0" w:leftChars="0" w:right="0" w:rightChars="0" w:firstLine="0" w:firstLineChars="0"/>
              <w:rPr>
                <w:sz w:val="18"/>
                <w:szCs w:val="21"/>
              </w:rPr>
            </w:pPr>
            <w:r>
              <w:rPr>
                <w:rFonts w:hint="eastAsia"/>
                <w:sz w:val="18"/>
                <w:szCs w:val="21"/>
              </w:rPr>
              <w:t>双侧颞下颌关节强直，张口困难Ⅱ度</w:t>
            </w:r>
            <w:r>
              <w:rPr>
                <w:sz w:val="18"/>
                <w:szCs w:val="21"/>
              </w:rPr>
              <w:t xml:space="preserve"> </w:t>
            </w:r>
          </w:p>
        </w:tc>
        <w:tc>
          <w:tcPr>
            <w:tcW w:w="1081" w:type="dxa"/>
            <w:vAlign w:val="center"/>
          </w:tcPr>
          <w:p>
            <w:pPr>
              <w:ind w:left="0" w:leftChars="0" w:right="0" w:rightChars="0" w:firstLine="0" w:firstLineChars="0"/>
              <w:jc w:val="center"/>
              <w:rPr>
                <w:sz w:val="18"/>
                <w:szCs w:val="21"/>
              </w:rPr>
            </w:pPr>
            <w:r>
              <w:rPr>
                <w:sz w:val="18"/>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8499" w:type="dxa"/>
            <w:vAlign w:val="center"/>
          </w:tcPr>
          <w:p>
            <w:pPr>
              <w:ind w:left="0" w:leftChars="0" w:right="0" w:rightChars="0" w:firstLine="0" w:firstLineChars="0"/>
              <w:rPr>
                <w:sz w:val="18"/>
                <w:szCs w:val="21"/>
              </w:rPr>
            </w:pPr>
            <w:r>
              <w:rPr>
                <w:rFonts w:hint="eastAsia"/>
                <w:sz w:val="18"/>
                <w:szCs w:val="21"/>
              </w:rPr>
              <w:t>一侧颞下颌关节强直，张口困难</w:t>
            </w:r>
            <w:r>
              <w:rPr>
                <w:sz w:val="18"/>
                <w:szCs w:val="21"/>
              </w:rPr>
              <w:t>I度</w:t>
            </w:r>
          </w:p>
        </w:tc>
        <w:tc>
          <w:tcPr>
            <w:tcW w:w="1081" w:type="dxa"/>
            <w:vAlign w:val="center"/>
          </w:tcPr>
          <w:p>
            <w:pPr>
              <w:ind w:left="0" w:leftChars="0" w:right="0" w:rightChars="0" w:firstLine="0" w:firstLineChars="0"/>
              <w:jc w:val="center"/>
              <w:rPr>
                <w:sz w:val="18"/>
                <w:szCs w:val="21"/>
              </w:rPr>
            </w:pPr>
            <w:r>
              <w:rPr>
                <w:sz w:val="18"/>
                <w:szCs w:val="21"/>
              </w:rPr>
              <w:t>10级</w:t>
            </w:r>
          </w:p>
        </w:tc>
      </w:tr>
    </w:tbl>
    <w:p>
      <w:pPr>
        <w:pStyle w:val="14"/>
        <w:rPr>
          <w:sz w:val="21"/>
          <w:szCs w:val="21"/>
        </w:rPr>
      </w:pPr>
      <w:r>
        <w:rPr>
          <w:rFonts w:hint="eastAsia"/>
          <w:sz w:val="21"/>
          <w:szCs w:val="21"/>
        </w:rPr>
        <w:t>注：张口困难判定及测量方法是以患者自身的食指、中指、无名指并列垂直置入上、下中切牙切缘间测量。正常张口度指张口时上述三指可垂直置入上、下切牙切缘间（相当于</w:t>
      </w:r>
      <w:r>
        <w:rPr>
          <w:sz w:val="21"/>
          <w:szCs w:val="21"/>
        </w:rPr>
        <w:t>4.5cm左右）；张口困难I度指大张口时，只能垂直置</w:t>
      </w:r>
      <w:r>
        <w:rPr>
          <w:rFonts w:hint="eastAsia"/>
          <w:sz w:val="21"/>
          <w:szCs w:val="21"/>
        </w:rPr>
        <w:t>入</w:t>
      </w:r>
      <w:r>
        <w:rPr>
          <w:sz w:val="21"/>
          <w:szCs w:val="21"/>
        </w:rPr>
        <w:t>食指和中指（相当于3cm左右）；张口困难II度指大张口时，只能垂直置</w:t>
      </w:r>
      <w:r>
        <w:rPr>
          <w:rFonts w:hint="eastAsia"/>
          <w:sz w:val="21"/>
          <w:szCs w:val="21"/>
        </w:rPr>
        <w:t>入</w:t>
      </w:r>
      <w:r>
        <w:rPr>
          <w:sz w:val="21"/>
          <w:szCs w:val="21"/>
        </w:rPr>
        <w:t>食指（相当于1.7cm左右</w:t>
      </w:r>
      <w:r>
        <w:rPr>
          <w:rFonts w:hint="eastAsia"/>
          <w:sz w:val="21"/>
          <w:szCs w:val="21"/>
        </w:rPr>
        <w:t>）；张口困难</w:t>
      </w:r>
      <w:r>
        <w:rPr>
          <w:sz w:val="21"/>
          <w:szCs w:val="21"/>
        </w:rPr>
        <w:t>III度指大张口时，上、下切牙间距小于食指之横径。</w:t>
      </w:r>
    </w:p>
    <w:p>
      <w:pPr>
        <w:pStyle w:val="4"/>
        <w:numPr>
          <w:ilvl w:val="1"/>
          <w:numId w:val="1"/>
        </w:numPr>
        <w:ind w:left="0" w:firstLine="0"/>
        <w:contextualSpacing/>
        <w:rPr>
          <w:sz w:val="21"/>
          <w:szCs w:val="21"/>
        </w:rPr>
      </w:pPr>
      <w:bookmarkStart w:id="47" w:name="_Toc356463495"/>
      <w:r>
        <w:rPr>
          <w:rFonts w:hint="eastAsia"/>
          <w:sz w:val="21"/>
          <w:szCs w:val="21"/>
        </w:rPr>
        <w:t>上肢的结构损伤，手功能或关节功能障碍</w:t>
      </w:r>
      <w:bookmarkEnd w:id="47"/>
    </w:p>
    <w:tbl>
      <w:tblPr>
        <w:tblStyle w:val="11"/>
        <w:tblW w:w="9600"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516"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双手完全缺失</w:t>
            </w:r>
          </w:p>
        </w:tc>
        <w:tc>
          <w:tcPr>
            <w:tcW w:w="1084"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516"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双手完全丧失功能</w:t>
            </w:r>
          </w:p>
        </w:tc>
        <w:tc>
          <w:tcPr>
            <w:tcW w:w="1084"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516"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一手完全缺失，另一手完全丧失功能</w:t>
            </w:r>
          </w:p>
        </w:tc>
        <w:tc>
          <w:tcPr>
            <w:tcW w:w="1084"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516"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双手缺失（或丧失功能）大于等于90%</w:t>
            </w:r>
          </w:p>
        </w:tc>
        <w:tc>
          <w:tcPr>
            <w:tcW w:w="1084"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516"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双手缺失（或丧失功能）大于等于70%</w:t>
            </w:r>
          </w:p>
        </w:tc>
        <w:tc>
          <w:tcPr>
            <w:tcW w:w="1084"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516"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双手缺失（或丧失功能）大于等于50%</w:t>
            </w:r>
          </w:p>
        </w:tc>
        <w:tc>
          <w:tcPr>
            <w:tcW w:w="1084"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516"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一上肢三大关节中，有两个关节完全丧失功能</w:t>
            </w:r>
          </w:p>
        </w:tc>
        <w:tc>
          <w:tcPr>
            <w:tcW w:w="1084"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516"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一上肢三大关节中，有一个关节完全丧失功能</w:t>
            </w:r>
          </w:p>
        </w:tc>
        <w:tc>
          <w:tcPr>
            <w:tcW w:w="1084"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516"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双手缺失（或丧失功能）大于等于30%</w:t>
            </w:r>
          </w:p>
        </w:tc>
        <w:tc>
          <w:tcPr>
            <w:tcW w:w="1084"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516"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双手缺失（或丧失功能）大于等于10%</w:t>
            </w:r>
          </w:p>
        </w:tc>
        <w:tc>
          <w:tcPr>
            <w:tcW w:w="1084"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516"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双上肢长度相差大于等于10cm</w:t>
            </w:r>
          </w:p>
        </w:tc>
        <w:tc>
          <w:tcPr>
            <w:tcW w:w="1084"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8516" w:type="dxa"/>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双上肢长度相差大于等于4cm</w:t>
            </w:r>
          </w:p>
        </w:tc>
        <w:tc>
          <w:tcPr>
            <w:tcW w:w="1084"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516"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一上肢三大关节中，因骨折累及关节面导致一个关节功能部分丧失</w:t>
            </w:r>
          </w:p>
        </w:tc>
        <w:tc>
          <w:tcPr>
            <w:tcW w:w="1084"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bl>
    <w:p>
      <w:pPr>
        <w:pStyle w:val="14"/>
        <w:rPr>
          <w:sz w:val="21"/>
          <w:szCs w:val="21"/>
        </w:rPr>
      </w:pPr>
      <w:r>
        <w:rPr>
          <w:rFonts w:hint="eastAsia"/>
          <w:sz w:val="21"/>
          <w:szCs w:val="21"/>
        </w:rPr>
        <w:t>注：手缺失和丧失功能的计算：</w:t>
      </w:r>
      <w:bookmarkStart w:id="48" w:name="OLE_LINK29"/>
      <w:bookmarkStart w:id="49" w:name="OLE_LINK28"/>
      <w:r>
        <w:rPr>
          <w:rFonts w:hint="eastAsia"/>
          <w:sz w:val="21"/>
          <w:szCs w:val="21"/>
        </w:rPr>
        <w:t>一手拇指占一手功能的</w:t>
      </w:r>
      <w:r>
        <w:rPr>
          <w:sz w:val="21"/>
          <w:szCs w:val="21"/>
        </w:rPr>
        <w:t>36%，其中末节和近节指节各占18%；食指、中指各占一手功能的18%，其中末节</w:t>
      </w:r>
      <w:r>
        <w:rPr>
          <w:rFonts w:hint="eastAsia"/>
          <w:sz w:val="21"/>
          <w:szCs w:val="21"/>
        </w:rPr>
        <w:t>指节占</w:t>
      </w:r>
      <w:r>
        <w:rPr>
          <w:sz w:val="21"/>
          <w:szCs w:val="21"/>
        </w:rPr>
        <w:t>8%，中节</w:t>
      </w:r>
      <w:r>
        <w:rPr>
          <w:rFonts w:hint="eastAsia"/>
          <w:sz w:val="21"/>
          <w:szCs w:val="21"/>
        </w:rPr>
        <w:t>指节占</w:t>
      </w:r>
      <w:r>
        <w:rPr>
          <w:sz w:val="21"/>
          <w:szCs w:val="21"/>
        </w:rPr>
        <w:t>7%，近节</w:t>
      </w:r>
      <w:r>
        <w:rPr>
          <w:rFonts w:hint="eastAsia"/>
          <w:sz w:val="21"/>
          <w:szCs w:val="21"/>
        </w:rPr>
        <w:t>指节占</w:t>
      </w:r>
      <w:r>
        <w:rPr>
          <w:sz w:val="21"/>
          <w:szCs w:val="21"/>
        </w:rPr>
        <w:t>3%；无名指和小指各占一手功能的9%，其中末节</w:t>
      </w:r>
      <w:r>
        <w:rPr>
          <w:rFonts w:hint="eastAsia"/>
          <w:sz w:val="21"/>
          <w:szCs w:val="21"/>
        </w:rPr>
        <w:t>指节占</w:t>
      </w:r>
      <w:r>
        <w:rPr>
          <w:sz w:val="21"/>
          <w:szCs w:val="21"/>
        </w:rPr>
        <w:t>4%，中节</w:t>
      </w:r>
      <w:r>
        <w:rPr>
          <w:rFonts w:hint="eastAsia"/>
          <w:sz w:val="21"/>
          <w:szCs w:val="21"/>
        </w:rPr>
        <w:t>指节占</w:t>
      </w:r>
      <w:r>
        <w:rPr>
          <w:sz w:val="21"/>
          <w:szCs w:val="21"/>
        </w:rPr>
        <w:t>3%，近节</w:t>
      </w:r>
      <w:r>
        <w:rPr>
          <w:rFonts w:hint="eastAsia"/>
          <w:sz w:val="21"/>
          <w:szCs w:val="21"/>
        </w:rPr>
        <w:t>指节占</w:t>
      </w:r>
      <w:r>
        <w:rPr>
          <w:sz w:val="21"/>
          <w:szCs w:val="21"/>
        </w:rPr>
        <w:t>2%。</w:t>
      </w:r>
      <w:r>
        <w:rPr>
          <w:rFonts w:hint="eastAsia"/>
          <w:sz w:val="21"/>
          <w:szCs w:val="21"/>
        </w:rPr>
        <w:t>一手掌占一手功能的</w:t>
      </w:r>
      <w:r>
        <w:rPr>
          <w:sz w:val="21"/>
          <w:szCs w:val="21"/>
        </w:rPr>
        <w:t>10%，其中第一掌骨占4%，第二、第三掌骨各占2%，第四、第五掌骨各占1%。本标准中，双手缺失或丧失功能的程度是按前面方</w:t>
      </w:r>
      <w:r>
        <w:rPr>
          <w:rFonts w:hint="eastAsia"/>
          <w:sz w:val="21"/>
          <w:szCs w:val="21"/>
        </w:rPr>
        <w:t>式</w:t>
      </w:r>
      <w:r>
        <w:rPr>
          <w:sz w:val="21"/>
          <w:szCs w:val="21"/>
        </w:rPr>
        <w:t>累加计算的结果。</w:t>
      </w:r>
      <w:bookmarkEnd w:id="48"/>
      <w:bookmarkEnd w:id="49"/>
    </w:p>
    <w:p>
      <w:pPr>
        <w:spacing w:line="240" w:lineRule="exact"/>
        <w:ind w:firstLine="420" w:firstLineChars="200"/>
        <w:contextualSpacing/>
        <w:rPr>
          <w:szCs w:val="21"/>
        </w:rPr>
      </w:pPr>
    </w:p>
    <w:p>
      <w:pPr>
        <w:pStyle w:val="4"/>
        <w:numPr>
          <w:ilvl w:val="1"/>
          <w:numId w:val="1"/>
        </w:numPr>
        <w:ind w:left="0" w:firstLine="0"/>
        <w:contextualSpacing/>
        <w:rPr>
          <w:sz w:val="21"/>
          <w:szCs w:val="21"/>
        </w:rPr>
      </w:pPr>
      <w:bookmarkStart w:id="50" w:name="_Toc356463496"/>
      <w:r>
        <w:rPr>
          <w:rFonts w:hint="eastAsia"/>
          <w:sz w:val="21"/>
          <w:szCs w:val="21"/>
        </w:rPr>
        <w:t>骨盆部的结构损伤</w:t>
      </w:r>
      <w:bookmarkEnd w:id="50"/>
    </w:p>
    <w:tbl>
      <w:tblPr>
        <w:tblStyle w:val="11"/>
        <w:tblW w:w="9680"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7"/>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8587"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骨盆环骨折，且两下肢相对长度相差大于等于8cm</w:t>
            </w:r>
          </w:p>
        </w:tc>
        <w:tc>
          <w:tcPr>
            <w:tcW w:w="1093"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8587"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髋臼骨折，且两下肢相对长度相差大于等于8cm</w:t>
            </w:r>
          </w:p>
        </w:tc>
        <w:tc>
          <w:tcPr>
            <w:tcW w:w="1093"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8587"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骨盆环骨折，且两下肢相对长度相差大于等于6cm</w:t>
            </w:r>
          </w:p>
        </w:tc>
        <w:tc>
          <w:tcPr>
            <w:tcW w:w="1093"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8587"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髋臼骨折，且两下肢相对长度相差大于等于6cm</w:t>
            </w:r>
          </w:p>
        </w:tc>
        <w:tc>
          <w:tcPr>
            <w:tcW w:w="1093"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8587"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骨盆环骨折，且两下肢相对长度相差大于等于4cm</w:t>
            </w:r>
          </w:p>
        </w:tc>
        <w:tc>
          <w:tcPr>
            <w:tcW w:w="1093"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8587"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髋臼骨折，且两下肢相对长度相差大于等于4cm</w:t>
            </w:r>
          </w:p>
        </w:tc>
        <w:tc>
          <w:tcPr>
            <w:tcW w:w="1093"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8587"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骨盆环骨折，且两下肢相对长度相差大于等于2cm</w:t>
            </w:r>
          </w:p>
        </w:tc>
        <w:tc>
          <w:tcPr>
            <w:tcW w:w="1093"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587" w:type="dxa"/>
            <w:tcBorders>
              <w:bottom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髋臼骨折，且两下肢相对长度相差大于等于2cm</w:t>
            </w:r>
          </w:p>
        </w:tc>
        <w:tc>
          <w:tcPr>
            <w:tcW w:w="1093" w:type="dxa"/>
            <w:tcBorders>
              <w:bottom w:val="single" w:color="auto" w:sz="4" w:space="0"/>
            </w:tcBorders>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bl>
    <w:p>
      <w:pPr>
        <w:spacing w:line="240" w:lineRule="exact"/>
        <w:ind w:firstLine="420" w:firstLineChars="200"/>
        <w:contextualSpacing/>
        <w:rPr>
          <w:szCs w:val="21"/>
        </w:rPr>
      </w:pPr>
    </w:p>
    <w:p>
      <w:pPr>
        <w:pStyle w:val="4"/>
        <w:numPr>
          <w:ilvl w:val="1"/>
          <w:numId w:val="1"/>
        </w:numPr>
        <w:ind w:left="0" w:firstLine="0"/>
        <w:contextualSpacing/>
        <w:rPr>
          <w:sz w:val="21"/>
          <w:szCs w:val="21"/>
        </w:rPr>
      </w:pPr>
      <w:bookmarkStart w:id="51" w:name="_Toc356463497"/>
      <w:r>
        <w:rPr>
          <w:rFonts w:hint="eastAsia"/>
          <w:sz w:val="21"/>
          <w:szCs w:val="21"/>
        </w:rPr>
        <w:t>下肢的结构损伤，足功能或关节功能障碍</w:t>
      </w:r>
      <w:bookmarkEnd w:id="51"/>
    </w:p>
    <w:tbl>
      <w:tblPr>
        <w:tblStyle w:val="11"/>
        <w:tblW w:w="9640"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双足跗跖关节以上缺失</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双下肢长度相差大于等于8cm</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一下肢三大关节中，有两个关节完全丧失功能</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双足足弓结构完全破坏</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一足跗跖关节以上缺失</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双下肢长度相差大于等于6cm</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一足足弓结构完全破坏，另一足足弓结构破坏大于等于1/3</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双足十趾完全缺失</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一下肢三大关节中，有一个关节完全丧失功能</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双足十趾完全丧失功能</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双下肢长度相差大于等于4cm</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一足足弓结构完全破坏</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双足十趾中，大于等于五趾缺失</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一足五趾完全丧失功能</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一足足弓结构破坏大于等于1/3</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双足十趾中，大于等于两趾缺失</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双下肢长度相差大于等于2cm</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一下肢三大关节中，因骨折累及关节面导致一个关节功能部分丧失</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bl>
    <w:p>
      <w:pPr>
        <w:pStyle w:val="14"/>
        <w:rPr>
          <w:sz w:val="21"/>
          <w:szCs w:val="21"/>
        </w:rPr>
      </w:pPr>
      <w:r>
        <w:rPr>
          <w:rFonts w:hint="eastAsia"/>
          <w:sz w:val="21"/>
          <w:szCs w:val="21"/>
        </w:rPr>
        <w:t xml:space="preserve">注： </w:t>
      </w:r>
      <w:r>
        <w:rPr>
          <w:sz w:val="21"/>
          <w:szCs w:val="21"/>
        </w:rPr>
        <w:fldChar w:fldCharType="begin"/>
      </w:r>
      <w:r>
        <w:rPr>
          <w:sz w:val="21"/>
          <w:szCs w:val="21"/>
        </w:rPr>
        <w:instrText xml:space="preserve"> = 1 \* GB3 </w:instrText>
      </w:r>
      <w:r>
        <w:rPr>
          <w:sz w:val="21"/>
          <w:szCs w:val="21"/>
        </w:rPr>
        <w:fldChar w:fldCharType="separate"/>
      </w:r>
      <w:r>
        <w:rPr>
          <w:rFonts w:hint="eastAsia"/>
          <w:sz w:val="21"/>
          <w:szCs w:val="21"/>
          <w:lang w:val="zh-CN" w:eastAsia="zh-CN"/>
        </w:rPr>
        <w:t>①</w:t>
      </w:r>
      <w:r>
        <w:rPr>
          <w:sz w:val="21"/>
          <w:szCs w:val="21"/>
        </w:rPr>
        <w:fldChar w:fldCharType="end"/>
      </w:r>
      <w:r>
        <w:rPr>
          <w:sz w:val="21"/>
          <w:szCs w:val="21"/>
        </w:rPr>
        <w:t xml:space="preserve"> </w:t>
      </w:r>
      <w:r>
        <w:rPr>
          <w:rFonts w:hint="eastAsia"/>
          <w:sz w:val="21"/>
          <w:szCs w:val="21"/>
        </w:rPr>
        <w:t>足弓结构破坏：指意外损伤导致的足弓缺失或丧失功能。</w:t>
      </w:r>
    </w:p>
    <w:p>
      <w:pPr>
        <w:pStyle w:val="14"/>
        <w:ind w:firstLine="630" w:firstLineChars="300"/>
        <w:rPr>
          <w:sz w:val="21"/>
          <w:szCs w:val="21"/>
        </w:rPr>
      </w:pPr>
      <w:r>
        <w:rPr>
          <w:sz w:val="21"/>
          <w:szCs w:val="21"/>
        </w:rPr>
        <w:fldChar w:fldCharType="begin"/>
      </w:r>
      <w:r>
        <w:rPr>
          <w:sz w:val="21"/>
          <w:szCs w:val="21"/>
        </w:rPr>
        <w:instrText xml:space="preserve"> = 2 \* GB3 </w:instrText>
      </w:r>
      <w:r>
        <w:rPr>
          <w:sz w:val="21"/>
          <w:szCs w:val="21"/>
        </w:rPr>
        <w:fldChar w:fldCharType="separate"/>
      </w:r>
      <w:r>
        <w:rPr>
          <w:rFonts w:hint="eastAsia"/>
          <w:sz w:val="21"/>
          <w:szCs w:val="21"/>
        </w:rPr>
        <w:t>②</w:t>
      </w:r>
      <w:r>
        <w:rPr>
          <w:sz w:val="21"/>
          <w:szCs w:val="21"/>
        </w:rPr>
        <w:fldChar w:fldCharType="end"/>
      </w:r>
      <w:r>
        <w:rPr>
          <w:sz w:val="21"/>
          <w:szCs w:val="21"/>
        </w:rPr>
        <w:t xml:space="preserve"> </w:t>
      </w:r>
      <w:r>
        <w:rPr>
          <w:rFonts w:hint="eastAsia"/>
          <w:sz w:val="21"/>
          <w:szCs w:val="21"/>
        </w:rPr>
        <w:t>足弓结构完全破坏指足的内、外侧纵弓和横弓结构完全破坏，包括缺失和丧失功能；足弓</w:t>
      </w:r>
      <w:r>
        <w:rPr>
          <w:sz w:val="21"/>
          <w:szCs w:val="21"/>
        </w:rPr>
        <w:t>1/3结构破坏指足三弓的任一弓的结构破坏。</w:t>
      </w:r>
    </w:p>
    <w:p>
      <w:pPr>
        <w:pStyle w:val="14"/>
        <w:ind w:firstLine="567" w:firstLineChars="270"/>
        <w:rPr>
          <w:sz w:val="21"/>
          <w:szCs w:val="21"/>
        </w:rPr>
      </w:pPr>
      <w:r>
        <w:rPr>
          <w:sz w:val="21"/>
          <w:szCs w:val="21"/>
        </w:rPr>
        <w:fldChar w:fldCharType="begin"/>
      </w:r>
      <w:r>
        <w:rPr>
          <w:sz w:val="21"/>
          <w:szCs w:val="21"/>
        </w:rPr>
        <w:instrText xml:space="preserve"> = 3 \* GB3 </w:instrText>
      </w:r>
      <w:r>
        <w:rPr>
          <w:sz w:val="21"/>
          <w:szCs w:val="21"/>
        </w:rPr>
        <w:fldChar w:fldCharType="separate"/>
      </w:r>
      <w:r>
        <w:rPr>
          <w:rFonts w:hint="eastAsia"/>
          <w:sz w:val="21"/>
          <w:szCs w:val="21"/>
          <w:lang w:val="zh-CN" w:eastAsia="zh-CN"/>
        </w:rPr>
        <w:t>③</w:t>
      </w:r>
      <w:r>
        <w:rPr>
          <w:sz w:val="21"/>
          <w:szCs w:val="21"/>
        </w:rPr>
        <w:fldChar w:fldCharType="end"/>
      </w:r>
      <w:r>
        <w:rPr>
          <w:sz w:val="21"/>
          <w:szCs w:val="21"/>
        </w:rPr>
        <w:t xml:space="preserve"> </w:t>
      </w:r>
      <w:r>
        <w:rPr>
          <w:rFonts w:hint="eastAsia"/>
          <w:sz w:val="21"/>
          <w:szCs w:val="21"/>
        </w:rPr>
        <w:t>足趾缺失：指自趾关节以上完全切断。</w:t>
      </w:r>
    </w:p>
    <w:p>
      <w:pPr>
        <w:spacing w:line="240" w:lineRule="exact"/>
        <w:ind w:firstLine="420" w:firstLineChars="200"/>
        <w:contextualSpacing/>
        <w:rPr>
          <w:szCs w:val="21"/>
        </w:rPr>
      </w:pPr>
    </w:p>
    <w:p>
      <w:pPr>
        <w:pStyle w:val="4"/>
        <w:numPr>
          <w:ilvl w:val="1"/>
          <w:numId w:val="1"/>
        </w:numPr>
        <w:ind w:left="0" w:firstLine="0"/>
        <w:contextualSpacing/>
        <w:rPr>
          <w:sz w:val="21"/>
          <w:szCs w:val="21"/>
        </w:rPr>
      </w:pPr>
      <w:bookmarkStart w:id="52" w:name="_Toc356463498"/>
      <w:r>
        <w:rPr>
          <w:rFonts w:hint="eastAsia"/>
          <w:sz w:val="21"/>
          <w:szCs w:val="21"/>
        </w:rPr>
        <w:t>四肢的结构损伤，肢体功能或关节功能障碍</w:t>
      </w:r>
      <w:bookmarkEnd w:id="52"/>
    </w:p>
    <w:tbl>
      <w:tblPr>
        <w:tblStyle w:val="11"/>
        <w:tblW w:w="9640"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三肢以上缺失(上肢在腕关节以上,下肢在踝关节以上)</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三肢以上完全丧失功能</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二肢缺失（上肢在腕关节以上，下肢在踝关节以上），且第三肢完全丧失功能</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一肢缺失（上肢在腕关节以上，下肢在踝关节以上），且另二肢完全丧失功能</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二肢缺失(上肢在肘关节以上，下肢在膝关节以上)</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一肢缺失（上肢在肘关节以上，下肢在膝关节以上），且另一肢完全丧失功能</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二肢完全丧失功能</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一肢缺失（上肢在腕关节以上，下肢在踝关节以上），且另一肢完全丧失功能</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二肢缺失(上肢在腕关节以上，下肢在踝关节以上)</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两上肢、或两下肢、或一上肢及一下肢，各有三大关节中的两个关节完全丧失功能</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一肢缺失(上肢在肘关节以上，下肢在膝关节以上)</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一肢完全丧失功能</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一肢缺失(上肢在腕关节以上，下肢在踝关节以上)</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四肢长骨一骺板以上粉碎性骨折</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bl>
    <w:p>
      <w:pPr>
        <w:pStyle w:val="14"/>
        <w:rPr>
          <w:sz w:val="21"/>
          <w:szCs w:val="21"/>
        </w:rPr>
      </w:pPr>
      <w:r>
        <w:rPr>
          <w:rFonts w:hint="eastAsia"/>
          <w:sz w:val="21"/>
          <w:szCs w:val="21"/>
        </w:rPr>
        <w:t>注：</w:t>
      </w:r>
      <w:r>
        <w:rPr>
          <w:color w:val="000000"/>
          <w:sz w:val="21"/>
          <w:szCs w:val="21"/>
        </w:rPr>
        <w:fldChar w:fldCharType="begin"/>
      </w:r>
      <w:r>
        <w:rPr>
          <w:color w:val="000000"/>
          <w:sz w:val="21"/>
          <w:szCs w:val="21"/>
        </w:rPr>
        <w:instrText xml:space="preserve"> = 1 \* GB3 </w:instrText>
      </w:r>
      <w:r>
        <w:rPr>
          <w:color w:val="000000"/>
          <w:sz w:val="21"/>
          <w:szCs w:val="21"/>
        </w:rPr>
        <w:fldChar w:fldCharType="separate"/>
      </w:r>
      <w:r>
        <w:rPr>
          <w:rFonts w:hint="eastAsia"/>
          <w:color w:val="000000"/>
          <w:sz w:val="21"/>
          <w:szCs w:val="21"/>
          <w:lang w:val="zh-CN" w:eastAsia="zh-CN"/>
        </w:rPr>
        <w:t>①</w:t>
      </w:r>
      <w:r>
        <w:rPr>
          <w:color w:val="000000"/>
          <w:sz w:val="21"/>
          <w:szCs w:val="21"/>
        </w:rPr>
        <w:fldChar w:fldCharType="end"/>
      </w:r>
      <w:r>
        <w:rPr>
          <w:color w:val="000000"/>
          <w:sz w:val="21"/>
          <w:szCs w:val="21"/>
        </w:rPr>
        <w:t xml:space="preserve"> </w:t>
      </w:r>
      <w:r>
        <w:rPr>
          <w:rFonts w:hint="eastAsia"/>
          <w:color w:val="000000"/>
          <w:sz w:val="21"/>
          <w:szCs w:val="21"/>
        </w:rPr>
        <w:t>骺板</w:t>
      </w:r>
      <w:r>
        <w:rPr>
          <w:rFonts w:hint="eastAsia"/>
          <w:sz w:val="21"/>
          <w:szCs w:val="21"/>
        </w:rPr>
        <w:t>：骺板的定义只适用于儿童，四肢长骨骺板骨折可能影响肢体发育，如果存在肢体发育障碍的，应当另行评定伤残等级。</w:t>
      </w:r>
    </w:p>
    <w:p>
      <w:pPr>
        <w:pStyle w:val="14"/>
        <w:ind w:firstLine="525" w:firstLineChars="250"/>
        <w:rPr>
          <w:sz w:val="21"/>
          <w:szCs w:val="21"/>
        </w:rPr>
      </w:pPr>
      <w:r>
        <w:rPr>
          <w:sz w:val="21"/>
          <w:szCs w:val="21"/>
        </w:rPr>
        <w:fldChar w:fldCharType="begin"/>
      </w:r>
      <w:r>
        <w:rPr>
          <w:sz w:val="21"/>
          <w:szCs w:val="21"/>
        </w:rPr>
        <w:instrText xml:space="preserve"> = 2 \* GB3 </w:instrText>
      </w:r>
      <w:r>
        <w:rPr>
          <w:sz w:val="21"/>
          <w:szCs w:val="21"/>
        </w:rPr>
        <w:fldChar w:fldCharType="separate"/>
      </w:r>
      <w:r>
        <w:rPr>
          <w:rFonts w:hint="eastAsia"/>
          <w:sz w:val="21"/>
          <w:szCs w:val="21"/>
          <w:lang w:val="zh-CN" w:eastAsia="zh-CN"/>
        </w:rPr>
        <w:t>②</w:t>
      </w:r>
      <w:r>
        <w:rPr>
          <w:sz w:val="21"/>
          <w:szCs w:val="21"/>
        </w:rPr>
        <w:fldChar w:fldCharType="end"/>
      </w:r>
      <w:r>
        <w:rPr>
          <w:sz w:val="21"/>
          <w:szCs w:val="21"/>
        </w:rPr>
        <w:t xml:space="preserve"> </w:t>
      </w:r>
      <w:r>
        <w:rPr>
          <w:rFonts w:hint="eastAsia"/>
          <w:sz w:val="21"/>
          <w:szCs w:val="21"/>
        </w:rPr>
        <w:t>肢体丧失功能指意外损伤导致肢体三大关节（上肢腕关节、肘关节、肩关节或下肢踝关节、膝关节、髋关节）功能的丧失。</w:t>
      </w:r>
    </w:p>
    <w:p>
      <w:pPr>
        <w:pStyle w:val="14"/>
        <w:ind w:firstLine="525" w:firstLineChars="250"/>
        <w:rPr>
          <w:sz w:val="21"/>
          <w:szCs w:val="21"/>
        </w:rPr>
      </w:pPr>
      <w:r>
        <w:rPr>
          <w:sz w:val="21"/>
          <w:szCs w:val="21"/>
        </w:rPr>
        <w:fldChar w:fldCharType="begin"/>
      </w:r>
      <w:r>
        <w:rPr>
          <w:sz w:val="21"/>
          <w:szCs w:val="21"/>
        </w:rPr>
        <w:instrText xml:space="preserve"> = 3 \* GB3 </w:instrText>
      </w:r>
      <w:r>
        <w:rPr>
          <w:sz w:val="21"/>
          <w:szCs w:val="21"/>
        </w:rPr>
        <w:fldChar w:fldCharType="separate"/>
      </w:r>
      <w:r>
        <w:rPr>
          <w:rFonts w:hint="eastAsia"/>
          <w:sz w:val="21"/>
          <w:szCs w:val="21"/>
          <w:lang w:val="zh-CN" w:eastAsia="zh-CN"/>
        </w:rPr>
        <w:t>③</w:t>
      </w:r>
      <w:r>
        <w:rPr>
          <w:sz w:val="21"/>
          <w:szCs w:val="21"/>
        </w:rPr>
        <w:fldChar w:fldCharType="end"/>
      </w:r>
      <w:r>
        <w:rPr>
          <w:sz w:val="21"/>
          <w:szCs w:val="21"/>
        </w:rPr>
        <w:t xml:space="preserve"> 关节功能的</w:t>
      </w:r>
      <w:r>
        <w:rPr>
          <w:rFonts w:hint="eastAsia"/>
          <w:sz w:val="21"/>
          <w:szCs w:val="21"/>
        </w:rPr>
        <w:t>丧失指关节永久完全僵硬、或麻痹、或关节不能随意识活动。</w:t>
      </w:r>
    </w:p>
    <w:p>
      <w:pPr>
        <w:spacing w:line="240" w:lineRule="exact"/>
        <w:ind w:firstLine="420" w:firstLineChars="200"/>
        <w:contextualSpacing/>
        <w:rPr>
          <w:szCs w:val="21"/>
        </w:rPr>
      </w:pPr>
    </w:p>
    <w:p>
      <w:pPr>
        <w:pStyle w:val="4"/>
        <w:numPr>
          <w:ilvl w:val="1"/>
          <w:numId w:val="1"/>
        </w:numPr>
        <w:ind w:left="0" w:firstLine="0"/>
        <w:contextualSpacing/>
        <w:rPr>
          <w:sz w:val="21"/>
          <w:szCs w:val="21"/>
        </w:rPr>
      </w:pPr>
      <w:bookmarkStart w:id="53" w:name="_Toc356463499"/>
      <w:r>
        <w:rPr>
          <w:rFonts w:hint="eastAsia"/>
          <w:sz w:val="21"/>
          <w:szCs w:val="21"/>
        </w:rPr>
        <w:t>脊柱结构损伤和关节活动功能障碍</w:t>
      </w:r>
      <w:bookmarkEnd w:id="53"/>
    </w:p>
    <w:p>
      <w:pPr>
        <w:ind w:firstLine="360" w:firstLineChars="200"/>
        <w:contextualSpacing/>
        <w:rPr>
          <w:sz w:val="18"/>
          <w:szCs w:val="21"/>
        </w:rPr>
      </w:pPr>
      <w:r>
        <w:rPr>
          <w:rFonts w:hint="eastAsia"/>
          <w:sz w:val="18"/>
          <w:szCs w:val="21"/>
        </w:rPr>
        <w:t>本标准中的脊柱结构损伤是指</w:t>
      </w:r>
      <w:r>
        <w:rPr>
          <w:rFonts w:hint="eastAsia" w:cs="Arial"/>
          <w:sz w:val="18"/>
          <w:szCs w:val="21"/>
        </w:rPr>
        <w:t>颈椎或腰椎的骨折脱位</w:t>
      </w:r>
      <w:r>
        <w:rPr>
          <w:rFonts w:hint="eastAsia"/>
          <w:sz w:val="18"/>
          <w:szCs w:val="21"/>
        </w:rPr>
        <w:t>，本标准中的关节活动功能障碍是指颈部或腰部活动度丧失。</w:t>
      </w:r>
    </w:p>
    <w:tbl>
      <w:tblPr>
        <w:tblStyle w:val="11"/>
        <w:tblW w:w="9560" w:type="dxa"/>
        <w:jc w:val="center"/>
        <w:tblInd w:w="-34" w:type="dxa"/>
        <w:tblLayout w:type="fixed"/>
        <w:tblCellMar>
          <w:top w:w="0" w:type="dxa"/>
          <w:left w:w="108" w:type="dxa"/>
          <w:bottom w:w="0" w:type="dxa"/>
          <w:right w:w="108" w:type="dxa"/>
        </w:tblCellMar>
      </w:tblPr>
      <w:tblGrid>
        <w:gridCol w:w="8481"/>
        <w:gridCol w:w="1079"/>
      </w:tblGrid>
      <w:tr>
        <w:tblPrEx>
          <w:tblLayout w:type="fixed"/>
          <w:tblCellMar>
            <w:top w:w="0" w:type="dxa"/>
            <w:left w:w="108" w:type="dxa"/>
            <w:bottom w:w="0" w:type="dxa"/>
            <w:right w:w="108" w:type="dxa"/>
          </w:tblCellMar>
        </w:tblPrEx>
        <w:trPr>
          <w:trHeight w:val="313" w:hRule="atLeast"/>
          <w:jc w:val="center"/>
        </w:trPr>
        <w:tc>
          <w:tcPr>
            <w:tcW w:w="8481"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脊柱骨折脱位导致颈椎或腰椎畸形愈合，且颈部或腰部活动度丧失大于等于75%</w:t>
            </w:r>
          </w:p>
        </w:tc>
        <w:tc>
          <w:tcPr>
            <w:tcW w:w="1079" w:type="dxa"/>
            <w:tcBorders>
              <w:top w:val="single" w:color="auto" w:sz="4" w:space="0"/>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r>
        <w:tblPrEx>
          <w:tblLayout w:type="fixed"/>
          <w:tblCellMar>
            <w:top w:w="0" w:type="dxa"/>
            <w:left w:w="108" w:type="dxa"/>
            <w:bottom w:w="0" w:type="dxa"/>
            <w:right w:w="108" w:type="dxa"/>
          </w:tblCellMar>
        </w:tblPrEx>
        <w:trPr>
          <w:trHeight w:val="313" w:hRule="atLeast"/>
          <w:jc w:val="center"/>
        </w:trPr>
        <w:tc>
          <w:tcPr>
            <w:tcW w:w="8481" w:type="dxa"/>
            <w:tcBorders>
              <w:top w:val="nil"/>
              <w:left w:val="single" w:color="auto" w:sz="4" w:space="0"/>
              <w:bottom w:val="single" w:color="auto" w:sz="4" w:space="0"/>
              <w:right w:val="single" w:color="auto" w:sz="4" w:space="0"/>
            </w:tcBorders>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脊柱骨折脱位导致颈椎或腰椎畸形愈合，且颈部或腰部活动度丧失大于等于50%</w:t>
            </w:r>
          </w:p>
        </w:tc>
        <w:tc>
          <w:tcPr>
            <w:tcW w:w="1079" w:type="dxa"/>
            <w:tcBorders>
              <w:top w:val="nil"/>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Layout w:type="fixed"/>
          <w:tblCellMar>
            <w:top w:w="0" w:type="dxa"/>
            <w:left w:w="108" w:type="dxa"/>
            <w:bottom w:w="0" w:type="dxa"/>
            <w:right w:w="108" w:type="dxa"/>
          </w:tblCellMar>
        </w:tblPrEx>
        <w:trPr>
          <w:trHeight w:val="327" w:hRule="atLeast"/>
          <w:jc w:val="center"/>
        </w:trPr>
        <w:tc>
          <w:tcPr>
            <w:tcW w:w="8481" w:type="dxa"/>
            <w:tcBorders>
              <w:top w:val="nil"/>
              <w:left w:val="single" w:color="auto" w:sz="4" w:space="0"/>
              <w:bottom w:val="single" w:color="auto" w:sz="4" w:space="0"/>
              <w:right w:val="single" w:color="auto" w:sz="4" w:space="0"/>
            </w:tcBorders>
            <w:vAlign w:val="center"/>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脊柱骨折脱位导致颈椎或腰椎畸形愈合，且颈部或腰部活动度丧失大于等于25%</w:t>
            </w:r>
          </w:p>
        </w:tc>
        <w:tc>
          <w:tcPr>
            <w:tcW w:w="1079" w:type="dxa"/>
            <w:tcBorders>
              <w:top w:val="nil"/>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bl>
    <w:p>
      <w:pPr>
        <w:spacing w:line="240" w:lineRule="exact"/>
        <w:ind w:firstLine="420" w:firstLineChars="200"/>
        <w:contextualSpacing/>
        <w:rPr>
          <w:szCs w:val="21"/>
        </w:rPr>
      </w:pPr>
    </w:p>
    <w:p>
      <w:pPr>
        <w:pStyle w:val="4"/>
        <w:numPr>
          <w:ilvl w:val="1"/>
          <w:numId w:val="1"/>
        </w:numPr>
        <w:ind w:left="0" w:firstLine="0"/>
        <w:contextualSpacing/>
        <w:rPr>
          <w:sz w:val="21"/>
          <w:szCs w:val="21"/>
        </w:rPr>
      </w:pPr>
      <w:bookmarkStart w:id="54" w:name="_Toc349826845"/>
      <w:bookmarkEnd w:id="54"/>
      <w:bookmarkStart w:id="55" w:name="_Toc349827001"/>
      <w:bookmarkEnd w:id="55"/>
      <w:bookmarkStart w:id="56" w:name="_Toc349833434"/>
      <w:bookmarkEnd w:id="56"/>
      <w:bookmarkStart w:id="57" w:name="_Toc349832779"/>
      <w:bookmarkEnd w:id="57"/>
      <w:bookmarkStart w:id="58" w:name="_Toc349833830"/>
      <w:bookmarkEnd w:id="58"/>
      <w:bookmarkStart w:id="59" w:name="_Toc356463500"/>
      <w:r>
        <w:rPr>
          <w:rFonts w:hint="eastAsia"/>
          <w:sz w:val="21"/>
          <w:szCs w:val="21"/>
        </w:rPr>
        <w:t>肌肉力量功能障碍</w:t>
      </w:r>
      <w:bookmarkEnd w:id="59"/>
    </w:p>
    <w:p>
      <w:pPr>
        <w:rPr>
          <w:szCs w:val="21"/>
        </w:rPr>
      </w:pPr>
      <w:r>
        <w:rPr>
          <w:rFonts w:hint="eastAsia"/>
          <w:sz w:val="18"/>
          <w:szCs w:val="21"/>
          <w:lang w:val="en-US" w:eastAsia="zh-CN"/>
        </w:rPr>
        <w:t xml:space="preserve">  </w:t>
      </w:r>
      <w:r>
        <w:rPr>
          <w:rFonts w:hint="eastAsia"/>
          <w:sz w:val="18"/>
          <w:szCs w:val="21"/>
        </w:rPr>
        <w:t>肌肉力量功能是指与肌肉或肌群收缩产生力量有关的功能。本标准中的肌肉力量功能障碍是指四肢瘫、偏瘫、截瘫或单瘫。</w:t>
      </w:r>
    </w:p>
    <w:tbl>
      <w:tblPr>
        <w:tblStyle w:val="11"/>
        <w:tblW w:w="9820"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8711"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四肢瘫（三肢以上肌力小于等于3级)</w:t>
            </w:r>
          </w:p>
        </w:tc>
        <w:tc>
          <w:tcPr>
            <w:tcW w:w="110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8711"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截瘫(肌力小于等于2级)且大便和小便失禁</w:t>
            </w:r>
          </w:p>
        </w:tc>
        <w:tc>
          <w:tcPr>
            <w:tcW w:w="110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8711"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四肢瘫（二肢以上肌力小于等于2级)</w:t>
            </w:r>
          </w:p>
        </w:tc>
        <w:tc>
          <w:tcPr>
            <w:tcW w:w="110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8711"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偏瘫（肌力小于等于2级)</w:t>
            </w:r>
          </w:p>
        </w:tc>
        <w:tc>
          <w:tcPr>
            <w:tcW w:w="110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8711"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截瘫（肌力小于等于2级)</w:t>
            </w:r>
          </w:p>
        </w:tc>
        <w:tc>
          <w:tcPr>
            <w:tcW w:w="110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8711"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四肢瘫（二肢以上肌力小于等于3级)</w:t>
            </w:r>
          </w:p>
        </w:tc>
        <w:tc>
          <w:tcPr>
            <w:tcW w:w="110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8711"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偏瘫（肌力小于等于3级)</w:t>
            </w:r>
          </w:p>
        </w:tc>
        <w:tc>
          <w:tcPr>
            <w:tcW w:w="110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8711"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截瘫（肌力小于等于3级)</w:t>
            </w:r>
          </w:p>
        </w:tc>
        <w:tc>
          <w:tcPr>
            <w:tcW w:w="110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8711"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四肢瘫（二肢以上肌力小于等于4级)</w:t>
            </w:r>
          </w:p>
        </w:tc>
        <w:tc>
          <w:tcPr>
            <w:tcW w:w="110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8711"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偏瘫（一肢肌力小于等于2级)</w:t>
            </w:r>
          </w:p>
        </w:tc>
        <w:tc>
          <w:tcPr>
            <w:tcW w:w="110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8711"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截瘫（一肢肌力小于等于2级)</w:t>
            </w:r>
          </w:p>
        </w:tc>
        <w:tc>
          <w:tcPr>
            <w:tcW w:w="110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8711"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单瘫（肌力小于等于2级)</w:t>
            </w:r>
          </w:p>
        </w:tc>
        <w:tc>
          <w:tcPr>
            <w:tcW w:w="110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8711"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偏瘫（一肢肌力小于等于3级)</w:t>
            </w:r>
          </w:p>
        </w:tc>
        <w:tc>
          <w:tcPr>
            <w:tcW w:w="110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8711"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截瘫（一肢肌力小于等于3级)</w:t>
            </w:r>
          </w:p>
        </w:tc>
        <w:tc>
          <w:tcPr>
            <w:tcW w:w="110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8711"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单瘫（肌力小于等于3级)</w:t>
            </w:r>
          </w:p>
        </w:tc>
        <w:tc>
          <w:tcPr>
            <w:tcW w:w="1109"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8711"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偏瘫（一肢肌力小于等于4级)</w:t>
            </w:r>
          </w:p>
        </w:tc>
        <w:tc>
          <w:tcPr>
            <w:tcW w:w="110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8711"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截瘫（一肢肌力小于等于4级)</w:t>
            </w:r>
          </w:p>
        </w:tc>
        <w:tc>
          <w:tcPr>
            <w:tcW w:w="1109"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711"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单瘫（肌力小于等于4级)</w:t>
            </w:r>
          </w:p>
        </w:tc>
        <w:tc>
          <w:tcPr>
            <w:tcW w:w="1109" w:type="dxa"/>
            <w:vAlign w:val="top"/>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bl>
    <w:p>
      <w:pPr>
        <w:pStyle w:val="14"/>
        <w:rPr>
          <w:sz w:val="21"/>
          <w:szCs w:val="21"/>
        </w:rPr>
      </w:pPr>
      <w:r>
        <w:rPr>
          <w:rFonts w:hint="eastAsia"/>
          <w:sz w:val="21"/>
          <w:szCs w:val="21"/>
        </w:rPr>
        <w:t>注：</w:t>
      </w:r>
      <w:r>
        <w:rPr>
          <w:sz w:val="21"/>
          <w:szCs w:val="21"/>
        </w:rPr>
        <w:fldChar w:fldCharType="begin"/>
      </w:r>
      <w:r>
        <w:rPr>
          <w:sz w:val="21"/>
          <w:szCs w:val="21"/>
        </w:rPr>
        <w:instrText xml:space="preserve"> = 1 \* GB3 </w:instrText>
      </w:r>
      <w:r>
        <w:rPr>
          <w:sz w:val="21"/>
          <w:szCs w:val="21"/>
        </w:rPr>
        <w:fldChar w:fldCharType="separate"/>
      </w:r>
      <w:r>
        <w:rPr>
          <w:rFonts w:hint="eastAsia"/>
          <w:sz w:val="21"/>
          <w:szCs w:val="21"/>
          <w:lang w:val="zh-CN" w:eastAsia="zh-CN"/>
        </w:rPr>
        <w:t>①</w:t>
      </w:r>
      <w:r>
        <w:rPr>
          <w:sz w:val="21"/>
          <w:szCs w:val="21"/>
        </w:rPr>
        <w:fldChar w:fldCharType="end"/>
      </w:r>
      <w:r>
        <w:rPr>
          <w:sz w:val="21"/>
          <w:szCs w:val="21"/>
        </w:rPr>
        <w:t xml:space="preserve"> </w:t>
      </w:r>
      <w:r>
        <w:rPr>
          <w:rFonts w:hint="eastAsia"/>
          <w:sz w:val="21"/>
          <w:szCs w:val="21"/>
        </w:rPr>
        <w:t>偏瘫指一侧上下肢的瘫痪。</w:t>
      </w:r>
    </w:p>
    <w:p>
      <w:pPr>
        <w:pStyle w:val="14"/>
        <w:ind w:firstLine="420" w:firstLineChars="200"/>
        <w:rPr>
          <w:sz w:val="21"/>
          <w:szCs w:val="21"/>
        </w:rPr>
      </w:pPr>
      <w:r>
        <w:rPr>
          <w:sz w:val="21"/>
          <w:szCs w:val="21"/>
        </w:rPr>
        <w:fldChar w:fldCharType="begin"/>
      </w:r>
      <w:r>
        <w:rPr>
          <w:sz w:val="21"/>
          <w:szCs w:val="21"/>
        </w:rPr>
        <w:instrText xml:space="preserve"> = 2 \* GB3 </w:instrText>
      </w:r>
      <w:r>
        <w:rPr>
          <w:sz w:val="21"/>
          <w:szCs w:val="21"/>
        </w:rPr>
        <w:fldChar w:fldCharType="separate"/>
      </w:r>
      <w:r>
        <w:rPr>
          <w:rFonts w:hint="eastAsia"/>
          <w:sz w:val="21"/>
          <w:szCs w:val="21"/>
          <w:lang w:val="zh-CN" w:eastAsia="zh-CN"/>
        </w:rPr>
        <w:t>②</w:t>
      </w:r>
      <w:r>
        <w:rPr>
          <w:sz w:val="21"/>
          <w:szCs w:val="21"/>
        </w:rPr>
        <w:fldChar w:fldCharType="end"/>
      </w:r>
      <w:r>
        <w:rPr>
          <w:sz w:val="21"/>
          <w:szCs w:val="21"/>
        </w:rPr>
        <w:t xml:space="preserve"> </w:t>
      </w:r>
      <w:r>
        <w:rPr>
          <w:rFonts w:hint="eastAsia"/>
          <w:sz w:val="21"/>
          <w:szCs w:val="21"/>
        </w:rPr>
        <w:t>截瘫指脊髓损伤后，受伤平面以下双侧肢体感觉、运动、反射等消失和膀胱、肛门括约肌功能丧失的病症。</w:t>
      </w:r>
    </w:p>
    <w:p>
      <w:pPr>
        <w:pStyle w:val="14"/>
        <w:ind w:firstLine="420" w:firstLineChars="200"/>
        <w:rPr>
          <w:sz w:val="21"/>
          <w:szCs w:val="21"/>
        </w:rPr>
      </w:pPr>
      <w:r>
        <w:rPr>
          <w:sz w:val="21"/>
          <w:szCs w:val="21"/>
        </w:rPr>
        <w:fldChar w:fldCharType="begin"/>
      </w:r>
      <w:r>
        <w:rPr>
          <w:sz w:val="21"/>
          <w:szCs w:val="21"/>
        </w:rPr>
        <w:instrText xml:space="preserve"> = 3 \* GB3 </w:instrText>
      </w:r>
      <w:r>
        <w:rPr>
          <w:sz w:val="21"/>
          <w:szCs w:val="21"/>
        </w:rPr>
        <w:fldChar w:fldCharType="separate"/>
      </w:r>
      <w:r>
        <w:rPr>
          <w:rFonts w:hint="eastAsia"/>
          <w:sz w:val="21"/>
          <w:szCs w:val="21"/>
          <w:lang w:val="zh-CN" w:eastAsia="zh-CN"/>
        </w:rPr>
        <w:t>③</w:t>
      </w:r>
      <w:r>
        <w:rPr>
          <w:sz w:val="21"/>
          <w:szCs w:val="21"/>
        </w:rPr>
        <w:fldChar w:fldCharType="end"/>
      </w:r>
      <w:r>
        <w:rPr>
          <w:sz w:val="21"/>
          <w:szCs w:val="21"/>
        </w:rPr>
        <w:t xml:space="preserve"> </w:t>
      </w:r>
      <w:r>
        <w:rPr>
          <w:rFonts w:hint="eastAsia"/>
          <w:sz w:val="21"/>
          <w:szCs w:val="21"/>
        </w:rPr>
        <w:t>单瘫指一个肢体或肢体的某一部分瘫痪。</w:t>
      </w:r>
    </w:p>
    <w:p>
      <w:pPr>
        <w:pStyle w:val="14"/>
        <w:ind w:firstLine="420" w:firstLineChars="200"/>
        <w:rPr>
          <w:sz w:val="21"/>
          <w:szCs w:val="21"/>
        </w:rPr>
      </w:pPr>
      <w:r>
        <w:rPr>
          <w:sz w:val="21"/>
          <w:szCs w:val="21"/>
        </w:rPr>
        <w:fldChar w:fldCharType="begin"/>
      </w:r>
      <w:r>
        <w:rPr>
          <w:sz w:val="21"/>
          <w:szCs w:val="21"/>
        </w:rPr>
        <w:instrText xml:space="preserve"> = 4 \* GB3 </w:instrText>
      </w:r>
      <w:r>
        <w:rPr>
          <w:sz w:val="21"/>
          <w:szCs w:val="21"/>
        </w:rPr>
        <w:fldChar w:fldCharType="separate"/>
      </w:r>
      <w:r>
        <w:rPr>
          <w:rFonts w:hint="eastAsia"/>
          <w:sz w:val="21"/>
          <w:szCs w:val="21"/>
          <w:lang w:val="zh-CN" w:eastAsia="zh-CN"/>
        </w:rPr>
        <w:t>④</w:t>
      </w:r>
      <w:r>
        <w:rPr>
          <w:sz w:val="21"/>
          <w:szCs w:val="21"/>
        </w:rPr>
        <w:fldChar w:fldCharType="end"/>
      </w:r>
      <w:r>
        <w:rPr>
          <w:sz w:val="21"/>
          <w:szCs w:val="21"/>
        </w:rPr>
        <w:t xml:space="preserve"> 肌力：为判断肢体瘫痪程度，将肌力分级划分为0-5级。</w:t>
      </w:r>
    </w:p>
    <w:p>
      <w:pPr>
        <w:pStyle w:val="14"/>
        <w:ind w:firstLine="720"/>
        <w:rPr>
          <w:sz w:val="21"/>
          <w:szCs w:val="21"/>
        </w:rPr>
      </w:pPr>
      <w:r>
        <w:rPr>
          <w:sz w:val="21"/>
          <w:szCs w:val="21"/>
        </w:rPr>
        <w:t xml:space="preserve"> </w:t>
      </w:r>
      <w:r>
        <w:rPr>
          <w:rFonts w:hint="eastAsia"/>
          <w:sz w:val="21"/>
          <w:szCs w:val="21"/>
        </w:rPr>
        <w:t xml:space="preserve">   </w:t>
      </w:r>
      <w:r>
        <w:rPr>
          <w:sz w:val="21"/>
          <w:szCs w:val="21"/>
        </w:rPr>
        <w:t>0级：肌肉完全瘫痪，毫无收缩。</w:t>
      </w:r>
    </w:p>
    <w:p>
      <w:pPr>
        <w:pStyle w:val="14"/>
        <w:rPr>
          <w:sz w:val="21"/>
          <w:szCs w:val="21"/>
        </w:rPr>
      </w:pPr>
      <w:r>
        <w:rPr>
          <w:rFonts w:hint="eastAsia"/>
          <w:sz w:val="21"/>
          <w:szCs w:val="21"/>
        </w:rPr>
        <w:t>　</w:t>
      </w:r>
      <w:r>
        <w:rPr>
          <w:sz w:val="21"/>
          <w:szCs w:val="21"/>
        </w:rPr>
        <w:t xml:space="preserve">  　 </w:t>
      </w:r>
      <w:r>
        <w:rPr>
          <w:rFonts w:hint="eastAsia"/>
          <w:sz w:val="21"/>
          <w:szCs w:val="21"/>
        </w:rPr>
        <w:t xml:space="preserve">    </w:t>
      </w:r>
      <w:r>
        <w:rPr>
          <w:sz w:val="21"/>
          <w:szCs w:val="21"/>
        </w:rPr>
        <w:t>1级：可看到或触及肌肉轻微收缩，但不能产生动作。</w:t>
      </w:r>
    </w:p>
    <w:p>
      <w:pPr>
        <w:pStyle w:val="14"/>
        <w:ind w:left="1737" w:hanging="1736" w:hangingChars="827"/>
        <w:rPr>
          <w:sz w:val="21"/>
          <w:szCs w:val="21"/>
        </w:rPr>
      </w:pPr>
      <w:r>
        <w:rPr>
          <w:rFonts w:hint="eastAsia"/>
          <w:sz w:val="21"/>
          <w:szCs w:val="21"/>
        </w:rPr>
        <w:t>　　</w:t>
      </w:r>
      <w:r>
        <w:rPr>
          <w:sz w:val="21"/>
          <w:szCs w:val="21"/>
        </w:rPr>
        <w:t xml:space="preserve">   </w:t>
      </w:r>
      <w:r>
        <w:rPr>
          <w:rFonts w:hint="eastAsia"/>
          <w:sz w:val="21"/>
          <w:szCs w:val="21"/>
        </w:rPr>
        <w:t xml:space="preserve">    </w:t>
      </w:r>
      <w:r>
        <w:rPr>
          <w:sz w:val="21"/>
          <w:szCs w:val="21"/>
        </w:rPr>
        <w:t>2级：肌肉在不受重力影响下，可进行运动，即肢体能在床面上移动，但不能抬高。</w:t>
      </w:r>
    </w:p>
    <w:p>
      <w:pPr>
        <w:pStyle w:val="14"/>
        <w:ind w:left="1737" w:hanging="1736" w:hangingChars="827"/>
        <w:rPr>
          <w:sz w:val="21"/>
          <w:szCs w:val="21"/>
        </w:rPr>
      </w:pPr>
      <w:r>
        <w:rPr>
          <w:rFonts w:hint="eastAsia"/>
          <w:sz w:val="21"/>
          <w:szCs w:val="21"/>
        </w:rPr>
        <w:t>　　</w:t>
      </w:r>
      <w:r>
        <w:rPr>
          <w:sz w:val="21"/>
          <w:szCs w:val="21"/>
        </w:rPr>
        <w:t xml:space="preserve">   </w:t>
      </w:r>
      <w:r>
        <w:rPr>
          <w:rFonts w:hint="eastAsia"/>
          <w:sz w:val="21"/>
          <w:szCs w:val="21"/>
        </w:rPr>
        <w:t xml:space="preserve">    </w:t>
      </w:r>
      <w:r>
        <w:rPr>
          <w:sz w:val="21"/>
          <w:szCs w:val="21"/>
        </w:rPr>
        <w:t>3级：在和地心引力相反的方向中尚能完成其动作，但不能对抗外加的阻力。</w:t>
      </w:r>
    </w:p>
    <w:p>
      <w:pPr>
        <w:pStyle w:val="14"/>
        <w:rPr>
          <w:sz w:val="21"/>
          <w:szCs w:val="21"/>
        </w:rPr>
      </w:pPr>
      <w:r>
        <w:rPr>
          <w:rFonts w:hint="eastAsia"/>
          <w:sz w:val="21"/>
          <w:szCs w:val="21"/>
        </w:rPr>
        <w:t>　　</w:t>
      </w:r>
      <w:r>
        <w:rPr>
          <w:sz w:val="21"/>
          <w:szCs w:val="21"/>
        </w:rPr>
        <w:t xml:space="preserve">   </w:t>
      </w:r>
      <w:r>
        <w:rPr>
          <w:rFonts w:hint="eastAsia"/>
          <w:sz w:val="21"/>
          <w:szCs w:val="21"/>
        </w:rPr>
        <w:t xml:space="preserve">    </w:t>
      </w:r>
      <w:r>
        <w:rPr>
          <w:sz w:val="21"/>
          <w:szCs w:val="21"/>
        </w:rPr>
        <w:t>4级：能对抗一定的阻力，但较正常人为低。</w:t>
      </w:r>
    </w:p>
    <w:p>
      <w:pPr>
        <w:pStyle w:val="14"/>
        <w:rPr>
          <w:sz w:val="21"/>
          <w:szCs w:val="21"/>
        </w:rPr>
      </w:pPr>
      <w:r>
        <w:rPr>
          <w:rFonts w:hint="eastAsia"/>
          <w:sz w:val="21"/>
          <w:szCs w:val="21"/>
        </w:rPr>
        <w:t>　　</w:t>
      </w:r>
      <w:r>
        <w:rPr>
          <w:sz w:val="21"/>
          <w:szCs w:val="21"/>
        </w:rPr>
        <w:t xml:space="preserve">   </w:t>
      </w:r>
      <w:r>
        <w:rPr>
          <w:rFonts w:hint="eastAsia"/>
          <w:sz w:val="21"/>
          <w:szCs w:val="21"/>
        </w:rPr>
        <w:t xml:space="preserve">    </w:t>
      </w:r>
      <w:r>
        <w:rPr>
          <w:sz w:val="21"/>
          <w:szCs w:val="21"/>
        </w:rPr>
        <w:t>5级：正常肌力</w:t>
      </w:r>
      <w:r>
        <w:rPr>
          <w:rFonts w:hint="eastAsia"/>
          <w:sz w:val="21"/>
          <w:szCs w:val="21"/>
        </w:rPr>
        <w:t>。</w:t>
      </w:r>
    </w:p>
    <w:p>
      <w:pPr>
        <w:spacing w:line="240" w:lineRule="exact"/>
        <w:ind w:firstLine="420" w:firstLineChars="200"/>
        <w:contextualSpacing/>
        <w:rPr>
          <w:szCs w:val="21"/>
        </w:rPr>
      </w:pPr>
    </w:p>
    <w:p>
      <w:pPr>
        <w:pStyle w:val="3"/>
        <w:numPr>
          <w:ilvl w:val="0"/>
          <w:numId w:val="1"/>
        </w:numPr>
        <w:contextualSpacing/>
        <w:rPr>
          <w:rFonts w:ascii="宋体" w:hAnsi="宋体"/>
          <w:sz w:val="18"/>
          <w:szCs w:val="21"/>
        </w:rPr>
      </w:pPr>
      <w:bookmarkStart w:id="60" w:name="_Toc356463501"/>
      <w:r>
        <w:rPr>
          <w:rFonts w:hint="eastAsia" w:ascii="宋体" w:hAnsi="宋体"/>
          <w:sz w:val="18"/>
          <w:szCs w:val="21"/>
        </w:rPr>
        <w:t>皮肤和有关的结构和功能</w:t>
      </w:r>
      <w:bookmarkEnd w:id="60"/>
    </w:p>
    <w:p>
      <w:pPr>
        <w:pStyle w:val="4"/>
        <w:numPr>
          <w:ilvl w:val="1"/>
          <w:numId w:val="1"/>
        </w:numPr>
        <w:ind w:left="0" w:firstLine="0"/>
        <w:contextualSpacing/>
        <w:rPr>
          <w:sz w:val="18"/>
          <w:szCs w:val="21"/>
        </w:rPr>
      </w:pPr>
      <w:bookmarkStart w:id="61" w:name="_Toc356463502"/>
      <w:r>
        <w:rPr>
          <w:rFonts w:hint="eastAsia"/>
          <w:sz w:val="18"/>
          <w:szCs w:val="21"/>
        </w:rPr>
        <w:t>头颈部皮肤结构损伤和修复功能障碍</w:t>
      </w:r>
      <w:bookmarkEnd w:id="61"/>
    </w:p>
    <w:p>
      <w:pPr>
        <w:ind w:firstLine="360" w:firstLineChars="200"/>
        <w:rPr>
          <w:szCs w:val="21"/>
        </w:rPr>
      </w:pPr>
      <w:r>
        <w:rPr>
          <w:rFonts w:hint="eastAsia"/>
          <w:sz w:val="18"/>
          <w:szCs w:val="21"/>
        </w:rPr>
        <w:t>皮肤的修复功能是指修复皮肤破损和其他损伤的功能。本标准中的皮肤修复功能障碍是指瘢痕形成。</w:t>
      </w:r>
    </w:p>
    <w:tbl>
      <w:tblPr>
        <w:tblStyle w:val="11"/>
        <w:tblW w:w="9640"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8552" w:type="dxa"/>
            <w:tcBorders>
              <w:top w:val="single" w:color="auto" w:sz="4" w:space="0"/>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头颈部III度烧伤，面积大于等于全身体表面积的8%</w:t>
            </w:r>
          </w:p>
        </w:tc>
        <w:tc>
          <w:tcPr>
            <w:tcW w:w="1088" w:type="dxa"/>
            <w:tcBorders>
              <w:top w:val="single" w:color="auto" w:sz="4" w:space="0"/>
              <w:left w:val="single" w:color="auto" w:sz="4" w:space="0"/>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面部皮肤损伤导致瘢痕形成，且瘢痕面积大于等于面部皮肤面积的90%</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颈部皮肤损伤导致瘢痕形成，颈部活动度完全丧失</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面部皮肤损伤导致瘢痕形成，且瘢痕面积大于等于面部皮肤面积的80%</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颈部皮肤损伤导致瘢痕形成，颈部活动度丧失大于等于75%</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面部皮肤损伤导致瘢痕形成，且瘢痕面积大于等于面部皮肤面积的60%</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552" w:type="dxa"/>
            <w:tcBorders>
              <w:top w:val="single" w:color="auto" w:sz="4" w:space="0"/>
              <w:left w:val="single" w:color="auto" w:sz="4" w:space="0"/>
              <w:bottom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头颈部III度烧伤，面积大于等于全身体表面积的5%，且小于8%</w:t>
            </w:r>
          </w:p>
        </w:tc>
        <w:tc>
          <w:tcPr>
            <w:tcW w:w="1088" w:type="dxa"/>
            <w:tcBorders>
              <w:bottom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颈部皮肤损伤导致瘢痕形成，颈部活动度丧失大于等于50%</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面部皮肤损伤导致瘢痕形成，且瘢痕面积大于等于面部皮肤面积的40%</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面部皮肤损伤导致瘢痕形成，且瘢痕面积大于等于面部皮肤面积的20%</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552" w:type="dxa"/>
            <w:tcBorders>
              <w:top w:val="single" w:color="auto" w:sz="4" w:space="0"/>
              <w:left w:val="single" w:color="auto" w:sz="4" w:space="0"/>
              <w:bottom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头部撕脱伤后导致头皮缺失，面积大于等于头皮面积的20%</w:t>
            </w:r>
          </w:p>
        </w:tc>
        <w:tc>
          <w:tcPr>
            <w:tcW w:w="1088" w:type="dxa"/>
            <w:tcBorders>
              <w:bottom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颈部皮肤损伤导致颈前三角区瘢痕形成，且瘢痕面积大于等于颈前三角区面积的75%</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面部皮肤损伤导致瘢痕形成，且瘢痕面积大于等于24cm2</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552" w:type="dxa"/>
            <w:tcBorders>
              <w:top w:val="single" w:color="auto" w:sz="4" w:space="0"/>
              <w:left w:val="single" w:color="auto" w:sz="4" w:space="0"/>
              <w:bottom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头颈部III度烧伤，面积大于等于全身体表面积的2%，且小于5%</w:t>
            </w:r>
          </w:p>
        </w:tc>
        <w:tc>
          <w:tcPr>
            <w:tcW w:w="1088" w:type="dxa"/>
            <w:tcBorders>
              <w:bottom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颈部皮肤损伤导致颈前三角区瘢痕形成，且瘢痕面积大于等于颈前三角区面积的50%</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面部皮肤损伤导致瘢痕形成，且瘢痕面积大于等于18cm2</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面部皮肤损伤导致瘢痕形成，且瘢痕面积大于等于12cm2或面部线条状瘢痕大于等于20cm</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52" w:type="dxa"/>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面部皮肤损伤导致瘢痕形成，且瘢痕面积大于等于6cm2或面部线条状瘢痕大于等于10cm</w:t>
            </w:r>
          </w:p>
        </w:tc>
        <w:tc>
          <w:tcPr>
            <w:tcW w:w="1088" w:type="dxa"/>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10级</w:t>
            </w:r>
          </w:p>
        </w:tc>
      </w:tr>
    </w:tbl>
    <w:p>
      <w:pPr>
        <w:pStyle w:val="14"/>
        <w:ind w:left="2"/>
        <w:rPr>
          <w:sz w:val="21"/>
          <w:szCs w:val="21"/>
        </w:rPr>
      </w:pPr>
      <w:r>
        <w:rPr>
          <w:rFonts w:hint="eastAsia"/>
          <w:sz w:val="21"/>
          <w:szCs w:val="21"/>
        </w:rPr>
        <w:t>注：</w:t>
      </w:r>
      <w:r>
        <w:rPr>
          <w:sz w:val="21"/>
          <w:szCs w:val="21"/>
        </w:rPr>
        <w:fldChar w:fldCharType="begin"/>
      </w:r>
      <w:r>
        <w:rPr>
          <w:sz w:val="21"/>
          <w:szCs w:val="21"/>
        </w:rPr>
        <w:instrText xml:space="preserve"> = 1 \* GB3 </w:instrText>
      </w:r>
      <w:r>
        <w:rPr>
          <w:sz w:val="21"/>
          <w:szCs w:val="21"/>
        </w:rPr>
        <w:fldChar w:fldCharType="separate"/>
      </w:r>
      <w:r>
        <w:rPr>
          <w:rFonts w:hint="eastAsia"/>
          <w:sz w:val="21"/>
          <w:szCs w:val="21"/>
          <w:lang w:val="zh-CN" w:eastAsia="zh-CN"/>
        </w:rPr>
        <w:t>①</w:t>
      </w:r>
      <w:r>
        <w:rPr>
          <w:sz w:val="21"/>
          <w:szCs w:val="21"/>
        </w:rPr>
        <w:fldChar w:fldCharType="end"/>
      </w:r>
      <w:r>
        <w:rPr>
          <w:sz w:val="21"/>
          <w:szCs w:val="21"/>
        </w:rPr>
        <w:t xml:space="preserve"> </w:t>
      </w:r>
      <w:r>
        <w:rPr>
          <w:rFonts w:hint="eastAsia"/>
          <w:sz w:val="21"/>
          <w:szCs w:val="21"/>
        </w:rPr>
        <w:t>瘢痕：指创面愈合后的增生性瘢痕，不包括皮肤平整、无明显质地改变的萎缩性瘢痕或疤痕。</w:t>
      </w:r>
    </w:p>
    <w:p>
      <w:pPr>
        <w:pStyle w:val="14"/>
        <w:ind w:firstLine="417" w:firstLineChars="199"/>
        <w:rPr>
          <w:sz w:val="21"/>
          <w:szCs w:val="21"/>
        </w:rPr>
      </w:pPr>
      <w:r>
        <w:rPr>
          <w:sz w:val="21"/>
          <w:szCs w:val="21"/>
        </w:rPr>
        <w:fldChar w:fldCharType="begin"/>
      </w:r>
      <w:r>
        <w:rPr>
          <w:sz w:val="21"/>
          <w:szCs w:val="21"/>
        </w:rPr>
        <w:instrText xml:space="preserve"> = 2 \* GB3 </w:instrText>
      </w:r>
      <w:r>
        <w:rPr>
          <w:sz w:val="21"/>
          <w:szCs w:val="21"/>
        </w:rPr>
        <w:fldChar w:fldCharType="separate"/>
      </w:r>
      <w:r>
        <w:rPr>
          <w:rFonts w:hint="eastAsia"/>
          <w:sz w:val="21"/>
          <w:szCs w:val="21"/>
          <w:lang w:val="zh-CN" w:eastAsia="zh-CN"/>
        </w:rPr>
        <w:t>②</w:t>
      </w:r>
      <w:r>
        <w:rPr>
          <w:sz w:val="21"/>
          <w:szCs w:val="21"/>
        </w:rPr>
        <w:fldChar w:fldCharType="end"/>
      </w:r>
      <w:r>
        <w:rPr>
          <w:sz w:val="21"/>
          <w:szCs w:val="21"/>
        </w:rPr>
        <w:t xml:space="preserve"> </w:t>
      </w:r>
      <w:r>
        <w:rPr>
          <w:rFonts w:hint="eastAsia"/>
          <w:sz w:val="21"/>
          <w:szCs w:val="21"/>
        </w:rPr>
        <w:t>面部的范围和瘢痕面积的计算：面部的范围指上至发际、下至下颌下缘、两侧至下颌支后缘之间的区域，包括额部、眼部、眶部、鼻部、口唇部、颏部、颧部、颊部和腮腺咬肌部。面部瘢痕面积的计算采用全面部和</w:t>
      </w:r>
      <w:r>
        <w:rPr>
          <w:sz w:val="21"/>
          <w:szCs w:val="21"/>
        </w:rPr>
        <w:t>5等分面部以及实测瘢痕面积的方法，分别计算瘢痕面积。面部多处瘢痕，其面积可以累加计算。</w:t>
      </w:r>
    </w:p>
    <w:p>
      <w:pPr>
        <w:pStyle w:val="14"/>
        <w:ind w:firstLine="420" w:firstLineChars="200"/>
        <w:rPr>
          <w:sz w:val="21"/>
          <w:szCs w:val="21"/>
        </w:rPr>
      </w:pPr>
      <w:r>
        <w:rPr>
          <w:sz w:val="21"/>
          <w:szCs w:val="21"/>
        </w:rPr>
        <w:fldChar w:fldCharType="begin"/>
      </w:r>
      <w:r>
        <w:rPr>
          <w:sz w:val="21"/>
          <w:szCs w:val="21"/>
        </w:rPr>
        <w:instrText xml:space="preserve"> = 3 \* GB3 </w:instrText>
      </w:r>
      <w:r>
        <w:rPr>
          <w:sz w:val="21"/>
          <w:szCs w:val="21"/>
        </w:rPr>
        <w:fldChar w:fldCharType="separate"/>
      </w:r>
      <w:r>
        <w:rPr>
          <w:rFonts w:hint="eastAsia"/>
          <w:sz w:val="21"/>
          <w:szCs w:val="21"/>
          <w:lang w:val="zh-CN" w:eastAsia="zh-CN"/>
        </w:rPr>
        <w:t>③</w:t>
      </w:r>
      <w:r>
        <w:rPr>
          <w:sz w:val="21"/>
          <w:szCs w:val="21"/>
        </w:rPr>
        <w:fldChar w:fldCharType="end"/>
      </w:r>
      <w:r>
        <w:rPr>
          <w:sz w:val="21"/>
          <w:szCs w:val="21"/>
        </w:rPr>
        <w:t xml:space="preserve"> </w:t>
      </w:r>
      <w:r>
        <w:rPr>
          <w:rFonts w:hint="eastAsia"/>
          <w:sz w:val="21"/>
          <w:szCs w:val="21"/>
        </w:rPr>
        <w:t>颈前三角区：两边为胸锁乳突肌前缘，底为舌骨体上缘及下颌骨下缘。</w:t>
      </w:r>
    </w:p>
    <w:p>
      <w:pPr>
        <w:spacing w:line="240" w:lineRule="exact"/>
        <w:ind w:firstLine="420" w:firstLineChars="200"/>
        <w:contextualSpacing/>
        <w:rPr>
          <w:szCs w:val="21"/>
        </w:rPr>
      </w:pPr>
    </w:p>
    <w:p>
      <w:pPr>
        <w:pStyle w:val="4"/>
        <w:numPr>
          <w:ilvl w:val="1"/>
          <w:numId w:val="1"/>
        </w:numPr>
        <w:ind w:left="0" w:firstLine="0"/>
        <w:contextualSpacing/>
        <w:rPr>
          <w:sz w:val="18"/>
          <w:szCs w:val="21"/>
        </w:rPr>
      </w:pPr>
      <w:bookmarkStart w:id="62" w:name="_Toc356463503"/>
      <w:r>
        <w:rPr>
          <w:rFonts w:hint="eastAsia"/>
          <w:sz w:val="18"/>
          <w:szCs w:val="21"/>
        </w:rPr>
        <w:t>各部位皮肤结构损伤和修复功能障碍</w:t>
      </w:r>
      <w:bookmarkEnd w:id="62"/>
    </w:p>
    <w:tbl>
      <w:tblPr>
        <w:tblStyle w:val="11"/>
        <w:tblW w:w="9680" w:type="dxa"/>
        <w:jc w:val="center"/>
        <w:tblInd w:w="-34" w:type="dxa"/>
        <w:tblLayout w:type="fixed"/>
        <w:tblCellMar>
          <w:top w:w="0" w:type="dxa"/>
          <w:left w:w="108" w:type="dxa"/>
          <w:bottom w:w="0" w:type="dxa"/>
          <w:right w:w="108" w:type="dxa"/>
        </w:tblCellMar>
      </w:tblPr>
      <w:tblGrid>
        <w:gridCol w:w="8588"/>
        <w:gridCol w:w="1092"/>
      </w:tblGrid>
      <w:tr>
        <w:tblPrEx>
          <w:tblLayout w:type="fixed"/>
          <w:tblCellMar>
            <w:top w:w="0" w:type="dxa"/>
            <w:left w:w="108" w:type="dxa"/>
            <w:bottom w:w="0" w:type="dxa"/>
            <w:right w:w="108" w:type="dxa"/>
          </w:tblCellMar>
        </w:tblPrEx>
        <w:trPr>
          <w:trHeight w:val="304" w:hRule="atLeast"/>
          <w:jc w:val="center"/>
        </w:trPr>
        <w:tc>
          <w:tcPr>
            <w:tcW w:w="8588" w:type="dxa"/>
            <w:tcBorders>
              <w:top w:val="single" w:color="auto" w:sz="4" w:space="0"/>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皮肤损伤导致瘢痕形成，且瘢痕面积大于等于全身体表面积的90%</w:t>
            </w:r>
          </w:p>
        </w:tc>
        <w:tc>
          <w:tcPr>
            <w:tcW w:w="1092" w:type="dxa"/>
            <w:tcBorders>
              <w:top w:val="single" w:color="auto" w:sz="4" w:space="0"/>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1级</w:t>
            </w:r>
          </w:p>
        </w:tc>
      </w:tr>
      <w:tr>
        <w:tblPrEx>
          <w:tblLayout w:type="fixed"/>
          <w:tblCellMar>
            <w:top w:w="0" w:type="dxa"/>
            <w:left w:w="108" w:type="dxa"/>
            <w:bottom w:w="0" w:type="dxa"/>
            <w:right w:w="108" w:type="dxa"/>
          </w:tblCellMar>
        </w:tblPrEx>
        <w:trPr>
          <w:trHeight w:val="304" w:hRule="atLeast"/>
          <w:jc w:val="center"/>
        </w:trPr>
        <w:tc>
          <w:tcPr>
            <w:tcW w:w="8588"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躯干及四肢III度烧伤，面积大于等于全身皮肤面积的60%</w:t>
            </w:r>
          </w:p>
        </w:tc>
        <w:tc>
          <w:tcPr>
            <w:tcW w:w="1092" w:type="dxa"/>
            <w:tcBorders>
              <w:top w:val="single" w:color="auto" w:sz="4" w:space="0"/>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1级</w:t>
            </w:r>
          </w:p>
        </w:tc>
      </w:tr>
      <w:tr>
        <w:tblPrEx>
          <w:tblLayout w:type="fixed"/>
          <w:tblCellMar>
            <w:top w:w="0" w:type="dxa"/>
            <w:left w:w="108" w:type="dxa"/>
            <w:bottom w:w="0" w:type="dxa"/>
            <w:right w:w="108" w:type="dxa"/>
          </w:tblCellMar>
        </w:tblPrEx>
        <w:trPr>
          <w:trHeight w:val="304" w:hRule="atLeast"/>
          <w:jc w:val="center"/>
        </w:trPr>
        <w:tc>
          <w:tcPr>
            <w:tcW w:w="8588"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皮肤损伤导致瘢痕形成，且瘢痕面积大于等于全身体表面积的80%</w:t>
            </w:r>
          </w:p>
        </w:tc>
        <w:tc>
          <w:tcPr>
            <w:tcW w:w="1092" w:type="dxa"/>
            <w:tcBorders>
              <w:top w:val="nil"/>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2级</w:t>
            </w:r>
          </w:p>
        </w:tc>
      </w:tr>
      <w:tr>
        <w:tblPrEx>
          <w:tblLayout w:type="fixed"/>
          <w:tblCellMar>
            <w:top w:w="0" w:type="dxa"/>
            <w:left w:w="108" w:type="dxa"/>
            <w:bottom w:w="0" w:type="dxa"/>
            <w:right w:w="108" w:type="dxa"/>
          </w:tblCellMar>
        </w:tblPrEx>
        <w:trPr>
          <w:trHeight w:val="304" w:hRule="atLeast"/>
          <w:jc w:val="center"/>
        </w:trPr>
        <w:tc>
          <w:tcPr>
            <w:tcW w:w="8588"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皮肤损伤导致瘢痕形成，且瘢痕面积大于等于全身体表面积的70%</w:t>
            </w:r>
          </w:p>
        </w:tc>
        <w:tc>
          <w:tcPr>
            <w:tcW w:w="1092" w:type="dxa"/>
            <w:tcBorders>
              <w:top w:val="nil"/>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3级</w:t>
            </w:r>
          </w:p>
        </w:tc>
      </w:tr>
      <w:tr>
        <w:tblPrEx>
          <w:tblLayout w:type="fixed"/>
          <w:tblCellMar>
            <w:top w:w="0" w:type="dxa"/>
            <w:left w:w="108" w:type="dxa"/>
            <w:bottom w:w="0" w:type="dxa"/>
            <w:right w:w="108" w:type="dxa"/>
          </w:tblCellMar>
        </w:tblPrEx>
        <w:trPr>
          <w:trHeight w:val="304" w:hRule="atLeast"/>
          <w:jc w:val="center"/>
        </w:trPr>
        <w:tc>
          <w:tcPr>
            <w:tcW w:w="8588"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躯干及四肢III度烧伤，面积大于等于全身皮肤面积的40%</w:t>
            </w:r>
          </w:p>
        </w:tc>
        <w:tc>
          <w:tcPr>
            <w:tcW w:w="1092" w:type="dxa"/>
            <w:tcBorders>
              <w:top w:val="nil"/>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3级</w:t>
            </w:r>
          </w:p>
        </w:tc>
      </w:tr>
      <w:tr>
        <w:tblPrEx>
          <w:tblLayout w:type="fixed"/>
          <w:tblCellMar>
            <w:top w:w="0" w:type="dxa"/>
            <w:left w:w="108" w:type="dxa"/>
            <w:bottom w:w="0" w:type="dxa"/>
            <w:right w:w="108" w:type="dxa"/>
          </w:tblCellMar>
        </w:tblPrEx>
        <w:trPr>
          <w:trHeight w:val="304" w:hRule="atLeast"/>
          <w:jc w:val="center"/>
        </w:trPr>
        <w:tc>
          <w:tcPr>
            <w:tcW w:w="8588"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皮肤损伤导致瘢痕形成，且瘢痕面积大于等于全身体表面积的60%</w:t>
            </w:r>
          </w:p>
        </w:tc>
        <w:tc>
          <w:tcPr>
            <w:tcW w:w="1092" w:type="dxa"/>
            <w:tcBorders>
              <w:top w:val="nil"/>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4级</w:t>
            </w:r>
          </w:p>
        </w:tc>
      </w:tr>
      <w:tr>
        <w:tblPrEx>
          <w:tblLayout w:type="fixed"/>
          <w:tblCellMar>
            <w:top w:w="0" w:type="dxa"/>
            <w:left w:w="108" w:type="dxa"/>
            <w:bottom w:w="0" w:type="dxa"/>
            <w:right w:w="108" w:type="dxa"/>
          </w:tblCellMar>
        </w:tblPrEx>
        <w:trPr>
          <w:trHeight w:val="304" w:hRule="atLeast"/>
          <w:jc w:val="center"/>
        </w:trPr>
        <w:tc>
          <w:tcPr>
            <w:tcW w:w="8588"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皮肤损伤导致瘢痕形成，且瘢痕面积大于等于全身体表面积的50%</w:t>
            </w:r>
          </w:p>
        </w:tc>
        <w:tc>
          <w:tcPr>
            <w:tcW w:w="1092" w:type="dxa"/>
            <w:tcBorders>
              <w:top w:val="nil"/>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Layout w:type="fixed"/>
          <w:tblCellMar>
            <w:top w:w="0" w:type="dxa"/>
            <w:left w:w="108" w:type="dxa"/>
            <w:bottom w:w="0" w:type="dxa"/>
            <w:right w:w="108" w:type="dxa"/>
          </w:tblCellMar>
        </w:tblPrEx>
        <w:trPr>
          <w:trHeight w:val="304" w:hRule="atLeast"/>
          <w:jc w:val="center"/>
        </w:trPr>
        <w:tc>
          <w:tcPr>
            <w:tcW w:w="8588"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躯干及四肢III度烧伤，面积大于等于全身皮肤面积的20%</w:t>
            </w:r>
          </w:p>
        </w:tc>
        <w:tc>
          <w:tcPr>
            <w:tcW w:w="1092" w:type="dxa"/>
            <w:tcBorders>
              <w:top w:val="nil"/>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5级</w:t>
            </w:r>
          </w:p>
        </w:tc>
      </w:tr>
      <w:tr>
        <w:tblPrEx>
          <w:tblLayout w:type="fixed"/>
          <w:tblCellMar>
            <w:top w:w="0" w:type="dxa"/>
            <w:left w:w="108" w:type="dxa"/>
            <w:bottom w:w="0" w:type="dxa"/>
            <w:right w:w="108" w:type="dxa"/>
          </w:tblCellMar>
        </w:tblPrEx>
        <w:trPr>
          <w:trHeight w:val="304" w:hRule="atLeast"/>
          <w:jc w:val="center"/>
        </w:trPr>
        <w:tc>
          <w:tcPr>
            <w:tcW w:w="8588"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皮肤损伤导致瘢痕形成，且瘢痕面积大于等于全身体表面积的40%</w:t>
            </w:r>
          </w:p>
        </w:tc>
        <w:tc>
          <w:tcPr>
            <w:tcW w:w="1092" w:type="dxa"/>
            <w:tcBorders>
              <w:top w:val="nil"/>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6级</w:t>
            </w:r>
          </w:p>
        </w:tc>
      </w:tr>
      <w:tr>
        <w:tblPrEx>
          <w:tblLayout w:type="fixed"/>
          <w:tblCellMar>
            <w:top w:w="0" w:type="dxa"/>
            <w:left w:w="108" w:type="dxa"/>
            <w:bottom w:w="0" w:type="dxa"/>
            <w:right w:w="108" w:type="dxa"/>
          </w:tblCellMar>
        </w:tblPrEx>
        <w:trPr>
          <w:trHeight w:val="304" w:hRule="atLeast"/>
          <w:jc w:val="center"/>
        </w:trPr>
        <w:tc>
          <w:tcPr>
            <w:tcW w:w="8588"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腹部损伤导致腹壁缺损面积大于等于腹壁面积的25%</w:t>
            </w:r>
          </w:p>
        </w:tc>
        <w:tc>
          <w:tcPr>
            <w:tcW w:w="1092" w:type="dxa"/>
            <w:tcBorders>
              <w:top w:val="nil"/>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6级</w:t>
            </w:r>
          </w:p>
        </w:tc>
      </w:tr>
      <w:tr>
        <w:tblPrEx>
          <w:tblLayout w:type="fixed"/>
          <w:tblCellMar>
            <w:top w:w="0" w:type="dxa"/>
            <w:left w:w="108" w:type="dxa"/>
            <w:bottom w:w="0" w:type="dxa"/>
            <w:right w:w="108" w:type="dxa"/>
          </w:tblCellMar>
        </w:tblPrEx>
        <w:trPr>
          <w:trHeight w:val="304" w:hRule="atLeast"/>
          <w:jc w:val="center"/>
        </w:trPr>
        <w:tc>
          <w:tcPr>
            <w:tcW w:w="8588"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皮肤损伤导致瘢痕形成，且瘢痕面积大于等于全身体表面积的30%</w:t>
            </w:r>
          </w:p>
        </w:tc>
        <w:tc>
          <w:tcPr>
            <w:tcW w:w="1092" w:type="dxa"/>
            <w:tcBorders>
              <w:top w:val="nil"/>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r>
        <w:tblPrEx>
          <w:tblLayout w:type="fixed"/>
          <w:tblCellMar>
            <w:top w:w="0" w:type="dxa"/>
            <w:left w:w="108" w:type="dxa"/>
            <w:bottom w:w="0" w:type="dxa"/>
            <w:right w:w="108" w:type="dxa"/>
          </w:tblCellMar>
        </w:tblPrEx>
        <w:trPr>
          <w:trHeight w:val="304" w:hRule="atLeast"/>
          <w:jc w:val="center"/>
        </w:trPr>
        <w:tc>
          <w:tcPr>
            <w:tcW w:w="8588"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躯干及四肢III度烧伤，面积大于等于全身皮肤面积的10%</w:t>
            </w:r>
          </w:p>
        </w:tc>
        <w:tc>
          <w:tcPr>
            <w:tcW w:w="1092" w:type="dxa"/>
            <w:tcBorders>
              <w:top w:val="nil"/>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7级</w:t>
            </w:r>
          </w:p>
        </w:tc>
      </w:tr>
      <w:tr>
        <w:tblPrEx>
          <w:tblLayout w:type="fixed"/>
          <w:tblCellMar>
            <w:top w:w="0" w:type="dxa"/>
            <w:left w:w="108" w:type="dxa"/>
            <w:bottom w:w="0" w:type="dxa"/>
            <w:right w:w="108" w:type="dxa"/>
          </w:tblCellMar>
        </w:tblPrEx>
        <w:trPr>
          <w:trHeight w:val="304" w:hRule="atLeast"/>
          <w:jc w:val="center"/>
        </w:trPr>
        <w:tc>
          <w:tcPr>
            <w:tcW w:w="8588"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皮肤损伤导致瘢痕形成，且瘢痕面积大于等于全身体表面积的20%</w:t>
            </w:r>
          </w:p>
        </w:tc>
        <w:tc>
          <w:tcPr>
            <w:tcW w:w="1092" w:type="dxa"/>
            <w:tcBorders>
              <w:top w:val="nil"/>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8级</w:t>
            </w:r>
          </w:p>
        </w:tc>
      </w:tr>
      <w:tr>
        <w:tblPrEx>
          <w:tblLayout w:type="fixed"/>
          <w:tblCellMar>
            <w:top w:w="0" w:type="dxa"/>
            <w:left w:w="108" w:type="dxa"/>
            <w:bottom w:w="0" w:type="dxa"/>
            <w:right w:w="108" w:type="dxa"/>
          </w:tblCellMar>
        </w:tblPrEx>
        <w:trPr>
          <w:trHeight w:val="323" w:hRule="atLeast"/>
          <w:jc w:val="center"/>
        </w:trPr>
        <w:tc>
          <w:tcPr>
            <w:tcW w:w="8588" w:type="dxa"/>
            <w:tcBorders>
              <w:top w:val="nil"/>
              <w:left w:val="single" w:color="auto" w:sz="4" w:space="0"/>
              <w:bottom w:val="single" w:color="auto" w:sz="4" w:space="0"/>
              <w:right w:val="single" w:color="auto" w:sz="4" w:space="0"/>
            </w:tcBorders>
            <w:vAlign w:val="top"/>
          </w:tcPr>
          <w:p>
            <w:pPr>
              <w:ind w:left="0" w:leftChars="0" w:right="0" w:rightChars="0" w:firstLine="0" w:firstLineChars="0"/>
              <w:rPr>
                <w:rFonts w:hint="eastAsia" w:ascii="宋体" w:hAnsi="宋体" w:eastAsia="宋体"/>
                <w:sz w:val="18"/>
                <w:szCs w:val="21"/>
              </w:rPr>
            </w:pPr>
            <w:r>
              <w:rPr>
                <w:rFonts w:hint="eastAsia" w:ascii="宋体" w:hAnsi="宋体" w:eastAsia="宋体"/>
                <w:sz w:val="18"/>
                <w:szCs w:val="21"/>
              </w:rPr>
              <w:t>皮肤损伤导致瘢痕形成，且瘢痕面积大于等于全身体表面积的5%</w:t>
            </w:r>
          </w:p>
        </w:tc>
        <w:tc>
          <w:tcPr>
            <w:tcW w:w="1092" w:type="dxa"/>
            <w:tcBorders>
              <w:top w:val="nil"/>
              <w:left w:val="nil"/>
              <w:bottom w:val="single" w:color="auto" w:sz="4" w:space="0"/>
              <w:right w:val="single" w:color="auto" w:sz="4" w:space="0"/>
            </w:tcBorders>
            <w:vAlign w:val="center"/>
          </w:tcPr>
          <w:p>
            <w:pPr>
              <w:ind w:left="0" w:leftChars="0" w:right="0" w:rightChars="0" w:firstLine="0" w:firstLineChars="0"/>
              <w:jc w:val="center"/>
              <w:rPr>
                <w:rFonts w:hint="eastAsia" w:ascii="宋体" w:hAnsi="宋体" w:eastAsia="宋体"/>
                <w:sz w:val="18"/>
                <w:szCs w:val="21"/>
              </w:rPr>
            </w:pPr>
            <w:r>
              <w:rPr>
                <w:rFonts w:hint="eastAsia" w:ascii="宋体" w:hAnsi="宋体" w:eastAsia="宋体"/>
                <w:sz w:val="18"/>
                <w:szCs w:val="21"/>
              </w:rPr>
              <w:t>9级</w:t>
            </w:r>
          </w:p>
        </w:tc>
      </w:tr>
    </w:tbl>
    <w:p>
      <w:pPr>
        <w:pStyle w:val="14"/>
        <w:ind w:left="2"/>
        <w:rPr>
          <w:sz w:val="21"/>
          <w:szCs w:val="21"/>
        </w:rPr>
      </w:pPr>
      <w:r>
        <w:rPr>
          <w:rFonts w:hint="eastAsia"/>
          <w:sz w:val="21"/>
          <w:szCs w:val="21"/>
        </w:rPr>
        <w:t>注：</w:t>
      </w:r>
      <w:r>
        <w:rPr>
          <w:sz w:val="21"/>
          <w:szCs w:val="21"/>
        </w:rPr>
        <w:fldChar w:fldCharType="begin"/>
      </w:r>
      <w:r>
        <w:rPr>
          <w:sz w:val="21"/>
          <w:szCs w:val="21"/>
        </w:rPr>
        <w:instrText xml:space="preserve"> = 1 \* GB3 </w:instrText>
      </w:r>
      <w:r>
        <w:rPr>
          <w:sz w:val="21"/>
          <w:szCs w:val="21"/>
        </w:rPr>
        <w:fldChar w:fldCharType="separate"/>
      </w:r>
      <w:r>
        <w:rPr>
          <w:rFonts w:hint="eastAsia"/>
          <w:sz w:val="21"/>
          <w:szCs w:val="21"/>
          <w:lang w:val="zh-CN" w:eastAsia="zh-CN"/>
        </w:rPr>
        <w:t>①</w:t>
      </w:r>
      <w:r>
        <w:rPr>
          <w:sz w:val="21"/>
          <w:szCs w:val="21"/>
        </w:rPr>
        <w:fldChar w:fldCharType="end"/>
      </w:r>
      <w:r>
        <w:rPr>
          <w:sz w:val="21"/>
          <w:szCs w:val="21"/>
        </w:rPr>
        <w:t xml:space="preserve"> </w:t>
      </w:r>
      <w:r>
        <w:rPr>
          <w:rFonts w:hint="eastAsia"/>
          <w:sz w:val="21"/>
          <w:szCs w:val="21"/>
        </w:rPr>
        <w:t>全身皮肤瘢痕面积的计算：按皮肤瘢痕面积占全身体表面积的百分数来计算，即中国新九分法：在</w:t>
      </w:r>
      <w:r>
        <w:rPr>
          <w:sz w:val="21"/>
          <w:szCs w:val="21"/>
        </w:rPr>
        <w:t>100%的体表总面积中：头颈部占9%（9×1）（头部、面部、颈部各占3%）；双上肢占18%（9×2）（双上臂7%，双前臂6%，双手5%）；躯干前后包括会阴占27%（9×3）（前躯13%，后躯13%，会阴1%）；双下肢（含臀部）占46%（双臀5%，双大腿21%，双小腿13%，双足7%）（9×5+1）（女性双足和臀各占6%）。</w:t>
      </w:r>
    </w:p>
    <w:p>
      <w:pPr>
        <w:autoSpaceDE w:val="0"/>
        <w:autoSpaceDN w:val="0"/>
        <w:spacing w:after="156" w:afterLines="50"/>
        <w:ind w:firstLine="420" w:firstLineChars="200"/>
        <w:textAlignment w:val="bottom"/>
      </w:pPr>
      <w:r>
        <w:rPr>
          <w:rFonts w:ascii="楷体" w:hAnsi="楷体" w:eastAsia="楷体" w:cs="宋体"/>
          <w:kern w:val="0"/>
          <w:szCs w:val="21"/>
        </w:rPr>
        <w:fldChar w:fldCharType="begin"/>
      </w:r>
      <w:r>
        <w:rPr>
          <w:rFonts w:ascii="楷体" w:hAnsi="楷体" w:eastAsia="楷体" w:cs="宋体"/>
          <w:kern w:val="0"/>
          <w:szCs w:val="21"/>
        </w:rPr>
        <w:instrText xml:space="preserve"> = 2 \* GB3 </w:instrText>
      </w:r>
      <w:r>
        <w:rPr>
          <w:rFonts w:ascii="楷体" w:hAnsi="楷体" w:eastAsia="楷体" w:cs="宋体"/>
          <w:kern w:val="0"/>
          <w:szCs w:val="21"/>
        </w:rPr>
        <w:fldChar w:fldCharType="separate"/>
      </w:r>
      <w:r>
        <w:rPr>
          <w:rFonts w:hint="eastAsia" w:ascii="楷体" w:hAnsi="楷体" w:eastAsia="楷体" w:cs="宋体"/>
          <w:kern w:val="0"/>
          <w:szCs w:val="21"/>
        </w:rPr>
        <w:t>②</w:t>
      </w:r>
      <w:r>
        <w:rPr>
          <w:rFonts w:ascii="楷体" w:hAnsi="楷体" w:eastAsia="楷体" w:cs="宋体"/>
          <w:kern w:val="0"/>
          <w:szCs w:val="21"/>
        </w:rPr>
        <w:fldChar w:fldCharType="end"/>
      </w:r>
      <w:r>
        <w:rPr>
          <w:rFonts w:ascii="楷体" w:hAnsi="楷体" w:eastAsia="楷体" w:cs="宋体"/>
          <w:kern w:val="0"/>
          <w:szCs w:val="21"/>
        </w:rPr>
        <w:t xml:space="preserve"> </w:t>
      </w:r>
      <w:r>
        <w:rPr>
          <w:rFonts w:hint="eastAsia" w:ascii="楷体" w:hAnsi="楷体" w:eastAsia="楷体" w:cs="宋体"/>
          <w:kern w:val="0"/>
          <w:szCs w:val="21"/>
        </w:rPr>
        <w:t>烧伤面积和烧伤深度：烧伤面积的计算按中国新九分法，烧伤深度按三度四分法。</w:t>
      </w:r>
      <w:r>
        <w:rPr>
          <w:rFonts w:ascii="楷体" w:hAnsi="楷体" w:eastAsia="楷体" w:cs="宋体"/>
          <w:kern w:val="0"/>
          <w:szCs w:val="21"/>
        </w:rPr>
        <w:t>III度烧伤指烧伤深达皮肤</w:t>
      </w:r>
      <w:r>
        <w:rPr>
          <w:rFonts w:hint="eastAsia" w:ascii="楷体" w:hAnsi="楷体" w:eastAsia="楷体" w:cs="宋体"/>
          <w:kern w:val="0"/>
          <w:szCs w:val="21"/>
        </w:rPr>
        <w:t>全层甚至达到皮下、肌肉和骨骼。烧伤事故不包括冻伤、吸入性损伤（又称呼吸道烧伤）和电击伤。烧伤后按烧伤面积、深度评定伤残等级，待医疗终结后，可以依据造成的功能障碍程度、皮肤瘢痕面积大小评定伤残等级，最终的伤残等级以严重者为准。</w:t>
      </w:r>
    </w:p>
    <w:p>
      <w:pPr/>
    </w:p>
    <w:p>
      <w:pPr>
        <w:keepNext w:val="0"/>
        <w:keepLines w:val="0"/>
        <w:pageBreakBefore w:val="0"/>
        <w:kinsoku/>
        <w:wordWrap/>
        <w:overflowPunct/>
        <w:topLinePunct w:val="0"/>
        <w:autoSpaceDE/>
        <w:autoSpaceDN/>
        <w:bidi w:val="0"/>
        <w:snapToGrid w:val="0"/>
        <w:spacing w:before="156" w:beforeLines="50" w:after="156" w:afterLines="50" w:line="240" w:lineRule="auto"/>
        <w:ind w:right="0" w:rightChars="0" w:firstLine="361" w:firstLineChars="200"/>
        <w:rPr>
          <w:rFonts w:hint="eastAsia" w:ascii="宋体" w:hAnsi="宋体"/>
          <w:b/>
          <w:color w:val="000000"/>
          <w:sz w:val="18"/>
          <w:szCs w:val="21"/>
        </w:rPr>
      </w:pPr>
    </w:p>
    <w:p>
      <w:pPr>
        <w:keepNext w:val="0"/>
        <w:keepLines w:val="0"/>
        <w:pageBreakBefore w:val="0"/>
        <w:kinsoku/>
        <w:wordWrap/>
        <w:overflowPunct/>
        <w:topLinePunct w:val="0"/>
        <w:autoSpaceDE/>
        <w:autoSpaceDN/>
        <w:bidi w:val="0"/>
        <w:snapToGrid w:val="0"/>
        <w:spacing w:before="156" w:beforeLines="50" w:after="156" w:afterLines="50" w:line="240" w:lineRule="auto"/>
        <w:ind w:right="0" w:rightChars="0"/>
        <w:jc w:val="center"/>
        <w:rPr>
          <w:rFonts w:hint="eastAsia" w:ascii="宋体" w:hAnsi="宋体"/>
          <w:b/>
          <w:color w:val="000000"/>
          <w:kern w:val="0"/>
          <w:sz w:val="28"/>
          <w:szCs w:val="32"/>
        </w:rPr>
      </w:pPr>
      <w:r>
        <w:rPr>
          <w:rFonts w:hint="eastAsia" w:ascii="宋体" w:hAnsi="宋体"/>
          <w:b/>
          <w:color w:val="000000"/>
          <w:sz w:val="28"/>
          <w:szCs w:val="32"/>
        </w:rPr>
        <w:t>建筑工程团体人身</w:t>
      </w:r>
      <w:r>
        <w:rPr>
          <w:rFonts w:hint="eastAsia" w:ascii="宋体" w:hAnsi="宋体"/>
          <w:b/>
          <w:bCs/>
          <w:color w:val="000000"/>
          <w:sz w:val="28"/>
          <w:szCs w:val="32"/>
        </w:rPr>
        <w:t>意外伤害附加医疗保险条款</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1" w:firstLineChars="200"/>
        <w:jc w:val="both"/>
        <w:textAlignment w:val="bottom"/>
        <w:outlineLvl w:val="0"/>
        <w:rPr>
          <w:rFonts w:hint="eastAsia" w:ascii="宋体" w:hAnsi="宋体"/>
          <w:color w:val="000000"/>
          <w:sz w:val="18"/>
          <w:szCs w:val="21"/>
        </w:rPr>
      </w:pPr>
      <w:r>
        <w:rPr>
          <w:rFonts w:hint="eastAsia" w:ascii="宋体" w:hAnsi="宋体"/>
          <w:b/>
          <w:color w:val="000000"/>
          <w:sz w:val="18"/>
          <w:szCs w:val="21"/>
        </w:rPr>
        <w:t>第一条合同构成</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0" w:firstLineChars="200"/>
        <w:jc w:val="both"/>
        <w:rPr>
          <w:rFonts w:hint="eastAsia" w:ascii="宋体" w:hAnsi="宋体"/>
          <w:color w:val="000000"/>
          <w:kern w:val="0"/>
          <w:sz w:val="18"/>
          <w:szCs w:val="21"/>
        </w:rPr>
      </w:pPr>
      <w:r>
        <w:rPr>
          <w:rFonts w:hint="eastAsia" w:ascii="宋体" w:hAnsi="宋体"/>
          <w:color w:val="000000"/>
          <w:kern w:val="0"/>
          <w:sz w:val="18"/>
          <w:szCs w:val="21"/>
        </w:rPr>
        <w:t>本保险合同（以下简称“本合同”）附加于华安财产保险股份有限公司建筑工程团体人身意外伤害保险（以下简称“主险合同”）。本合同由</w:t>
      </w:r>
      <w:r>
        <w:rPr>
          <w:rFonts w:hint="eastAsia" w:ascii="宋体" w:hAnsi="宋体"/>
          <w:bCs/>
          <w:color w:val="000000"/>
          <w:sz w:val="18"/>
          <w:szCs w:val="21"/>
        </w:rPr>
        <w:t>保险条款、投保单、保险单、保险凭证以及批单等组成。凡涉及本保险合同的约定，均应采用书面形式。</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1" w:firstLineChars="200"/>
        <w:jc w:val="both"/>
        <w:textAlignment w:val="bottom"/>
        <w:outlineLvl w:val="0"/>
        <w:rPr>
          <w:rFonts w:hint="eastAsia" w:ascii="宋体" w:hAnsi="宋体"/>
          <w:b/>
          <w:color w:val="000000"/>
          <w:sz w:val="18"/>
          <w:szCs w:val="21"/>
        </w:rPr>
      </w:pPr>
      <w:r>
        <w:rPr>
          <w:rFonts w:hint="eastAsia" w:ascii="宋体" w:hAnsi="宋体"/>
          <w:b/>
          <w:color w:val="000000"/>
          <w:sz w:val="18"/>
          <w:szCs w:val="21"/>
        </w:rPr>
        <w:t>第二条被保险人</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0" w:firstLineChars="200"/>
        <w:jc w:val="both"/>
        <w:rPr>
          <w:rFonts w:hint="eastAsia" w:ascii="宋体" w:hAnsi="宋体"/>
          <w:color w:val="000000"/>
          <w:kern w:val="0"/>
          <w:sz w:val="18"/>
          <w:szCs w:val="21"/>
        </w:rPr>
      </w:pPr>
      <w:r>
        <w:rPr>
          <w:rFonts w:hint="eastAsia" w:ascii="宋体" w:hAnsi="宋体"/>
          <w:color w:val="000000"/>
          <w:kern w:val="0"/>
          <w:sz w:val="18"/>
          <w:szCs w:val="21"/>
        </w:rPr>
        <w:t>与主险合同中的被保险人一致。</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54" w:firstLineChars="196"/>
        <w:jc w:val="both"/>
        <w:rPr>
          <w:rFonts w:hint="eastAsia" w:ascii="宋体" w:hAnsi="宋体"/>
          <w:b/>
          <w:bCs/>
          <w:color w:val="000000"/>
          <w:kern w:val="0"/>
          <w:sz w:val="18"/>
          <w:szCs w:val="21"/>
        </w:rPr>
      </w:pPr>
      <w:r>
        <w:rPr>
          <w:rFonts w:hint="eastAsia" w:ascii="宋体" w:hAnsi="宋体"/>
          <w:b/>
          <w:bCs/>
          <w:color w:val="000000"/>
          <w:kern w:val="0"/>
          <w:sz w:val="18"/>
          <w:szCs w:val="21"/>
        </w:rPr>
        <w:t>第三条 投保人</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0" w:firstLineChars="200"/>
        <w:jc w:val="both"/>
        <w:rPr>
          <w:rFonts w:hint="eastAsia" w:ascii="宋体" w:hAnsi="宋体"/>
          <w:color w:val="000000"/>
          <w:kern w:val="0"/>
          <w:sz w:val="18"/>
          <w:szCs w:val="21"/>
        </w:rPr>
      </w:pPr>
      <w:r>
        <w:rPr>
          <w:rFonts w:hint="eastAsia" w:ascii="宋体" w:hAnsi="宋体"/>
          <w:color w:val="000000"/>
          <w:kern w:val="0"/>
          <w:sz w:val="18"/>
          <w:szCs w:val="21"/>
        </w:rPr>
        <w:t>与主险合同中的投保人一致。</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54" w:firstLineChars="196"/>
        <w:jc w:val="both"/>
        <w:rPr>
          <w:rFonts w:hint="eastAsia" w:ascii="宋体" w:hAnsi="宋体"/>
          <w:b/>
          <w:bCs/>
          <w:color w:val="000000"/>
          <w:kern w:val="0"/>
          <w:sz w:val="18"/>
          <w:szCs w:val="21"/>
        </w:rPr>
      </w:pPr>
      <w:r>
        <w:rPr>
          <w:rFonts w:hint="eastAsia" w:ascii="宋体" w:hAnsi="宋体"/>
          <w:b/>
          <w:bCs/>
          <w:color w:val="000000"/>
          <w:kern w:val="0"/>
          <w:sz w:val="18"/>
          <w:szCs w:val="21"/>
        </w:rPr>
        <w:t>第四条 受益人</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52" w:firstLineChars="196"/>
        <w:jc w:val="both"/>
        <w:rPr>
          <w:rFonts w:hint="eastAsia" w:ascii="宋体" w:hAnsi="宋体"/>
          <w:b/>
          <w:bCs/>
          <w:color w:val="000000"/>
          <w:kern w:val="0"/>
          <w:sz w:val="18"/>
          <w:szCs w:val="21"/>
        </w:rPr>
      </w:pPr>
      <w:r>
        <w:rPr>
          <w:rFonts w:hint="eastAsia" w:ascii="宋体" w:hAnsi="宋体"/>
          <w:color w:val="000000"/>
          <w:kern w:val="0"/>
          <w:sz w:val="18"/>
          <w:szCs w:val="21"/>
        </w:rPr>
        <w:t>除另有约定外，</w:t>
      </w:r>
      <w:r>
        <w:rPr>
          <w:rFonts w:hint="eastAsia" w:ascii="宋体" w:hAnsi="宋体"/>
          <w:color w:val="000000"/>
          <w:sz w:val="18"/>
          <w:szCs w:val="21"/>
        </w:rPr>
        <w:t>本保险的受益人为被保险人本人。</w:t>
      </w:r>
    </w:p>
    <w:p>
      <w:pPr>
        <w:keepNext w:val="0"/>
        <w:keepLines w:val="0"/>
        <w:pageBreakBefore w:val="0"/>
        <w:widowControl w:val="0"/>
        <w:kinsoku/>
        <w:wordWrap/>
        <w:overflowPunct/>
        <w:topLinePunct w:val="0"/>
        <w:autoSpaceDE/>
        <w:autoSpaceDN/>
        <w:bidi w:val="0"/>
        <w:adjustRightInd w:val="0"/>
        <w:snapToGrid w:val="0"/>
        <w:spacing w:before="110" w:beforeLines="35" w:line="240" w:lineRule="auto"/>
        <w:ind w:right="0" w:rightChars="0" w:firstLine="354" w:firstLineChars="196"/>
        <w:jc w:val="both"/>
        <w:textAlignment w:val="bottom"/>
        <w:outlineLvl w:val="0"/>
        <w:rPr>
          <w:rFonts w:hint="eastAsia" w:ascii="宋体" w:hAnsi="宋体"/>
          <w:color w:val="000000"/>
          <w:sz w:val="18"/>
          <w:szCs w:val="21"/>
        </w:rPr>
      </w:pPr>
      <w:r>
        <w:rPr>
          <w:rFonts w:hint="eastAsia" w:ascii="宋体" w:hAnsi="宋体"/>
          <w:b/>
          <w:color w:val="000000"/>
          <w:sz w:val="18"/>
          <w:szCs w:val="21"/>
        </w:rPr>
        <w:t>第五条 保险责任</w:t>
      </w:r>
    </w:p>
    <w:p>
      <w:pPr>
        <w:keepNext w:val="0"/>
        <w:keepLines w:val="0"/>
        <w:pageBreakBefore w:val="0"/>
        <w:widowControl w:val="0"/>
        <w:kinsoku/>
        <w:wordWrap/>
        <w:overflowPunct/>
        <w:topLinePunct w:val="0"/>
        <w:autoSpaceDE/>
        <w:autoSpaceDN/>
        <w:bidi w:val="0"/>
        <w:adjustRightInd w:val="0"/>
        <w:snapToGrid w:val="0"/>
        <w:spacing w:before="110" w:beforeLines="35" w:line="240" w:lineRule="auto"/>
        <w:ind w:right="0" w:rightChars="0" w:firstLine="360" w:firstLineChars="200"/>
        <w:jc w:val="both"/>
        <w:rPr>
          <w:rFonts w:hint="eastAsia" w:ascii="宋体" w:hAnsi="宋体"/>
          <w:color w:val="000000"/>
          <w:sz w:val="18"/>
          <w:szCs w:val="21"/>
        </w:rPr>
      </w:pPr>
      <w:r>
        <w:rPr>
          <w:rFonts w:hint="eastAsia" w:ascii="宋体" w:hAnsi="宋体"/>
          <w:color w:val="000000"/>
          <w:sz w:val="18"/>
          <w:szCs w:val="21"/>
        </w:rPr>
        <w:t>一、</w:t>
      </w:r>
      <w:r>
        <w:rPr>
          <w:rFonts w:hint="eastAsia" w:ascii="宋体" w:hAnsi="宋体"/>
          <w:bCs/>
          <w:color w:val="000000"/>
          <w:sz w:val="18"/>
          <w:szCs w:val="21"/>
        </w:rPr>
        <w:t>在本合同保险期间内，且在主险合同有效的前提下</w:t>
      </w:r>
      <w:r>
        <w:rPr>
          <w:rFonts w:hint="eastAsia" w:ascii="宋体" w:hAnsi="宋体"/>
          <w:color w:val="000000"/>
          <w:sz w:val="18"/>
          <w:szCs w:val="21"/>
        </w:rPr>
        <w:t>，</w:t>
      </w:r>
      <w:r>
        <w:rPr>
          <w:rFonts w:hint="eastAsia" w:ascii="宋体" w:hAnsi="宋体"/>
          <w:bCs/>
          <w:color w:val="000000"/>
          <w:sz w:val="18"/>
          <w:szCs w:val="21"/>
        </w:rPr>
        <w:t>被保险人因遭受主险合同责任范围内的意外伤害事故而在</w:t>
      </w:r>
      <w:r>
        <w:rPr>
          <w:rFonts w:hint="eastAsia" w:ascii="宋体" w:hAnsi="宋体"/>
          <w:color w:val="000000"/>
          <w:kern w:val="0"/>
          <w:sz w:val="18"/>
          <w:szCs w:val="21"/>
        </w:rPr>
        <w:t>治疗地社会医疗保险主管机构指定医院治疗所支出的</w:t>
      </w:r>
      <w:r>
        <w:rPr>
          <w:rFonts w:hint="eastAsia" w:ascii="宋体" w:hAnsi="宋体"/>
          <w:bCs/>
          <w:color w:val="000000"/>
          <w:sz w:val="18"/>
          <w:szCs w:val="21"/>
        </w:rPr>
        <w:t>、符合保险单签发地社会医疗保险管理规定范围内可报销的合理且必要的医疗费用，</w:t>
      </w:r>
      <w:r>
        <w:rPr>
          <w:rFonts w:hint="eastAsia" w:ascii="宋体" w:hAnsi="宋体"/>
          <w:color w:val="000000"/>
          <w:sz w:val="18"/>
          <w:szCs w:val="21"/>
        </w:rPr>
        <w:t>保险人按与投保人约定并在保险单上载明的标准在医疗保险金限额内给付医疗保险金。</w:t>
      </w:r>
    </w:p>
    <w:p>
      <w:pPr>
        <w:keepNext w:val="0"/>
        <w:keepLines w:val="0"/>
        <w:pageBreakBefore w:val="0"/>
        <w:widowControl w:val="0"/>
        <w:kinsoku/>
        <w:wordWrap/>
        <w:overflowPunct/>
        <w:topLinePunct w:val="0"/>
        <w:autoSpaceDE/>
        <w:autoSpaceDN/>
        <w:bidi w:val="0"/>
        <w:adjustRightInd w:val="0"/>
        <w:snapToGrid w:val="0"/>
        <w:spacing w:before="110" w:beforeLines="35" w:line="240" w:lineRule="auto"/>
        <w:ind w:right="0" w:rightChars="0" w:firstLine="360" w:firstLineChars="200"/>
        <w:jc w:val="both"/>
        <w:rPr>
          <w:rFonts w:hint="eastAsia" w:ascii="宋体" w:hAnsi="宋体"/>
          <w:color w:val="000000"/>
          <w:sz w:val="18"/>
          <w:szCs w:val="21"/>
        </w:rPr>
      </w:pPr>
      <w:r>
        <w:rPr>
          <w:rFonts w:hint="eastAsia" w:ascii="宋体" w:hAnsi="宋体"/>
          <w:color w:val="000000"/>
          <w:sz w:val="18"/>
          <w:szCs w:val="21"/>
        </w:rPr>
        <w:t>二、在保险期间届满被保险人治疗仍未结束的，保险人继续承担上述第一款所列的保险责任，但其门诊治疗最长可至保险期满之日起第15日止，住院治疗最长可至保险期满之日起第90日止。</w:t>
      </w:r>
    </w:p>
    <w:p>
      <w:pPr>
        <w:keepNext w:val="0"/>
        <w:keepLines w:val="0"/>
        <w:pageBreakBefore w:val="0"/>
        <w:widowControl w:val="0"/>
        <w:kinsoku/>
        <w:wordWrap/>
        <w:overflowPunct/>
        <w:topLinePunct w:val="0"/>
        <w:autoSpaceDE/>
        <w:autoSpaceDN/>
        <w:bidi w:val="0"/>
        <w:adjustRightInd w:val="0"/>
        <w:snapToGrid w:val="0"/>
        <w:spacing w:before="110" w:beforeLines="35" w:line="240" w:lineRule="auto"/>
        <w:ind w:right="0" w:rightChars="0" w:firstLine="360" w:firstLineChars="200"/>
        <w:jc w:val="both"/>
        <w:rPr>
          <w:rFonts w:hint="eastAsia" w:ascii="宋体" w:hAnsi="宋体"/>
          <w:color w:val="000000"/>
          <w:sz w:val="18"/>
          <w:szCs w:val="21"/>
        </w:rPr>
      </w:pPr>
      <w:r>
        <w:rPr>
          <w:rFonts w:hint="eastAsia" w:ascii="宋体" w:hAnsi="宋体"/>
          <w:color w:val="000000"/>
          <w:sz w:val="18"/>
          <w:szCs w:val="21"/>
        </w:rPr>
        <w:t>三、在保险期间内，无论被保险人一次或多次遭受意外伤害在医院治疗，保险人均按规定分别给付意外伤害医疗保险金，但累计给付金额达到其意外伤害医疗保险金额时，本合同对该被保险人的意外伤害医疗保险责任终止。</w:t>
      </w:r>
    </w:p>
    <w:p>
      <w:pPr>
        <w:keepNext w:val="0"/>
        <w:keepLines w:val="0"/>
        <w:pageBreakBefore w:val="0"/>
        <w:widowControl w:val="0"/>
        <w:kinsoku/>
        <w:wordWrap/>
        <w:overflowPunct/>
        <w:topLinePunct w:val="0"/>
        <w:autoSpaceDE/>
        <w:autoSpaceDN/>
        <w:bidi w:val="0"/>
        <w:adjustRightInd w:val="0"/>
        <w:snapToGrid w:val="0"/>
        <w:spacing w:before="110" w:beforeLines="35" w:line="240" w:lineRule="auto"/>
        <w:ind w:right="0" w:rightChars="0" w:firstLine="360" w:firstLineChars="200"/>
        <w:jc w:val="both"/>
        <w:rPr>
          <w:rFonts w:hint="eastAsia" w:ascii="宋体" w:hAnsi="宋体"/>
          <w:color w:val="000000"/>
          <w:sz w:val="18"/>
          <w:szCs w:val="21"/>
        </w:rPr>
      </w:pPr>
      <w:r>
        <w:rPr>
          <w:rFonts w:hint="eastAsia" w:ascii="宋体" w:hAnsi="宋体"/>
          <w:color w:val="000000"/>
          <w:sz w:val="18"/>
          <w:szCs w:val="21"/>
        </w:rPr>
        <w:t>四、本保险适用医疗费用保险补偿原则。被保险人发生的属于本保险责任范围内的医疗费用已通过其它途径获得了补偿，被保险人需提供已注明给付比例和金额的医疗费用原始凭证或其复印件，并在该原始凭证或其复印件上加盖已给付费用单位的财务印章，向保险人申请给付意外伤害医疗保险金，但保险人给付的意外伤害医疗保险金与被保险人通过其它途径获得的补偿总额不能超过被保险人发生的符合保险单签发地社会医疗保险规定可报销的医疗费用。</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1" w:firstLineChars="200"/>
        <w:jc w:val="both"/>
        <w:textAlignment w:val="bottom"/>
        <w:rPr>
          <w:rFonts w:hint="eastAsia" w:ascii="宋体" w:hAnsi="宋体"/>
          <w:b/>
          <w:color w:val="000000"/>
          <w:sz w:val="18"/>
          <w:szCs w:val="21"/>
        </w:rPr>
      </w:pPr>
      <w:r>
        <w:rPr>
          <w:rFonts w:hint="eastAsia" w:ascii="宋体" w:hAnsi="宋体"/>
          <w:b/>
          <w:color w:val="000000"/>
          <w:sz w:val="18"/>
          <w:szCs w:val="21"/>
        </w:rPr>
        <w:t>第六条  责任免除</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1" w:firstLineChars="200"/>
        <w:jc w:val="both"/>
        <w:rPr>
          <w:rFonts w:hint="eastAsia" w:ascii="宋体" w:hAnsi="宋体"/>
          <w:b/>
          <w:bCs/>
          <w:color w:val="000000"/>
          <w:sz w:val="18"/>
          <w:szCs w:val="21"/>
        </w:rPr>
      </w:pPr>
      <w:r>
        <w:rPr>
          <w:rFonts w:hint="eastAsia" w:ascii="宋体" w:hAnsi="宋体"/>
          <w:b/>
          <w:bCs/>
          <w:color w:val="000000"/>
          <w:sz w:val="18"/>
          <w:szCs w:val="21"/>
        </w:rPr>
        <w:t>（一）因下列情形或原因之一，导致被保险人医疗费用支出的，保险人不承担给付保险金责任：</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1" w:firstLineChars="200"/>
        <w:jc w:val="both"/>
        <w:rPr>
          <w:rFonts w:hint="eastAsia" w:ascii="宋体" w:hAnsi="宋体"/>
          <w:b/>
          <w:bCs/>
          <w:color w:val="000000"/>
          <w:sz w:val="18"/>
          <w:szCs w:val="21"/>
        </w:rPr>
      </w:pPr>
      <w:r>
        <w:rPr>
          <w:rFonts w:hint="eastAsia" w:ascii="宋体" w:hAnsi="宋体"/>
          <w:b/>
          <w:bCs/>
          <w:color w:val="000000"/>
          <w:sz w:val="18"/>
          <w:szCs w:val="21"/>
        </w:rPr>
        <w:t xml:space="preserve">1. 主险合同规定的责任免除； </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1" w:firstLineChars="200"/>
        <w:jc w:val="both"/>
        <w:rPr>
          <w:rFonts w:hint="eastAsia" w:ascii="宋体" w:hAnsi="宋体"/>
          <w:b/>
          <w:bCs/>
          <w:color w:val="000000"/>
          <w:sz w:val="18"/>
          <w:szCs w:val="21"/>
        </w:rPr>
      </w:pPr>
      <w:r>
        <w:rPr>
          <w:rFonts w:hint="eastAsia" w:ascii="宋体" w:hAnsi="宋体"/>
          <w:b/>
          <w:bCs/>
          <w:color w:val="000000"/>
          <w:sz w:val="18"/>
          <w:szCs w:val="21"/>
        </w:rPr>
        <w:t xml:space="preserve">2. 被保险人矫形、整容、美容、心理咨询、洗牙、洁齿、验光、装配假牙、假眼、假肢、或者助听器等； </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1" w:firstLineChars="200"/>
        <w:jc w:val="both"/>
        <w:rPr>
          <w:rFonts w:hint="eastAsia" w:ascii="宋体" w:hAnsi="宋体"/>
          <w:b/>
          <w:bCs/>
          <w:color w:val="000000"/>
          <w:sz w:val="18"/>
          <w:szCs w:val="21"/>
        </w:rPr>
      </w:pPr>
      <w:r>
        <w:rPr>
          <w:rFonts w:hint="eastAsia" w:ascii="宋体" w:hAnsi="宋体"/>
          <w:b/>
          <w:bCs/>
          <w:color w:val="000000"/>
          <w:sz w:val="18"/>
          <w:szCs w:val="21"/>
        </w:rPr>
        <w:t xml:space="preserve">3. 被保险人健康护理等非治疗性行为； </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1" w:firstLineChars="200"/>
        <w:jc w:val="both"/>
        <w:rPr>
          <w:rFonts w:hint="eastAsia" w:ascii="宋体" w:hAnsi="宋体"/>
          <w:b/>
          <w:bCs/>
          <w:color w:val="000000"/>
          <w:sz w:val="18"/>
          <w:szCs w:val="21"/>
        </w:rPr>
      </w:pPr>
      <w:r>
        <w:rPr>
          <w:rFonts w:hint="eastAsia" w:ascii="宋体" w:hAnsi="宋体"/>
          <w:b/>
          <w:bCs/>
          <w:color w:val="000000"/>
          <w:sz w:val="18"/>
          <w:szCs w:val="21"/>
        </w:rPr>
        <w:t xml:space="preserve">4. 被保险人以家庭病床、挂床治疗等； </w:t>
      </w:r>
    </w:p>
    <w:p>
      <w:pPr>
        <w:keepNext w:val="0"/>
        <w:keepLines w:val="0"/>
        <w:pageBreakBefore w:val="0"/>
        <w:widowControl w:val="0"/>
        <w:tabs>
          <w:tab w:val="left" w:pos="7380"/>
        </w:tabs>
        <w:kinsoku/>
        <w:wordWrap/>
        <w:overflowPunct/>
        <w:topLinePunct w:val="0"/>
        <w:autoSpaceDE/>
        <w:autoSpaceDN/>
        <w:bidi w:val="0"/>
        <w:snapToGrid w:val="0"/>
        <w:spacing w:before="110" w:beforeLines="35" w:line="240" w:lineRule="auto"/>
        <w:ind w:right="0" w:rightChars="0" w:firstLine="361" w:firstLineChars="200"/>
        <w:jc w:val="both"/>
        <w:rPr>
          <w:rFonts w:hint="eastAsia" w:ascii="宋体" w:hAnsi="宋体"/>
          <w:b/>
          <w:bCs/>
          <w:color w:val="000000"/>
          <w:sz w:val="18"/>
          <w:szCs w:val="21"/>
        </w:rPr>
      </w:pPr>
      <w:r>
        <w:rPr>
          <w:rFonts w:hint="eastAsia" w:ascii="宋体" w:hAnsi="宋体"/>
          <w:b/>
          <w:bCs/>
          <w:color w:val="000000"/>
          <w:sz w:val="18"/>
          <w:szCs w:val="21"/>
        </w:rPr>
        <w:t>5. 被保险人投保前已有疾病的治疗和康复。</w:t>
      </w:r>
    </w:p>
    <w:p>
      <w:pPr>
        <w:keepNext w:val="0"/>
        <w:keepLines w:val="0"/>
        <w:pageBreakBefore w:val="0"/>
        <w:widowControl w:val="0"/>
        <w:tabs>
          <w:tab w:val="left" w:pos="7380"/>
        </w:tabs>
        <w:kinsoku/>
        <w:wordWrap/>
        <w:overflowPunct/>
        <w:topLinePunct w:val="0"/>
        <w:autoSpaceDE/>
        <w:autoSpaceDN/>
        <w:bidi w:val="0"/>
        <w:snapToGrid w:val="0"/>
        <w:spacing w:before="110" w:beforeLines="35" w:line="240" w:lineRule="auto"/>
        <w:ind w:right="0" w:rightChars="0" w:firstLine="361" w:firstLineChars="200"/>
        <w:jc w:val="both"/>
        <w:rPr>
          <w:rFonts w:hint="eastAsia" w:ascii="宋体" w:hAnsi="宋体"/>
          <w:b/>
          <w:bCs/>
          <w:color w:val="000000"/>
          <w:kern w:val="0"/>
          <w:sz w:val="18"/>
          <w:szCs w:val="21"/>
        </w:rPr>
      </w:pPr>
      <w:r>
        <w:rPr>
          <w:rFonts w:hint="eastAsia" w:ascii="宋体" w:hAnsi="宋体"/>
          <w:b/>
          <w:bCs/>
          <w:color w:val="000000"/>
          <w:sz w:val="18"/>
          <w:szCs w:val="21"/>
        </w:rPr>
        <w:t>6. 被保险人在境外（含港、澳、台地区）发生的医疗费用。</w:t>
      </w:r>
    </w:p>
    <w:p>
      <w:pPr>
        <w:keepNext w:val="0"/>
        <w:keepLines w:val="0"/>
        <w:pageBreakBefore w:val="0"/>
        <w:widowControl w:val="0"/>
        <w:kinsoku/>
        <w:wordWrap/>
        <w:overflowPunct/>
        <w:topLinePunct w:val="0"/>
        <w:autoSpaceDE/>
        <w:autoSpaceDN/>
        <w:bidi w:val="0"/>
        <w:adjustRightInd w:val="0"/>
        <w:snapToGrid w:val="0"/>
        <w:spacing w:before="110" w:beforeLines="35" w:line="240" w:lineRule="auto"/>
        <w:ind w:left="2" w:leftChars="1" w:right="0" w:rightChars="0" w:firstLine="361" w:firstLineChars="200"/>
        <w:jc w:val="both"/>
        <w:rPr>
          <w:rFonts w:hint="eastAsia" w:ascii="宋体" w:hAnsi="宋体"/>
          <w:b/>
          <w:bCs/>
          <w:color w:val="000000"/>
          <w:kern w:val="0"/>
          <w:sz w:val="18"/>
          <w:szCs w:val="21"/>
        </w:rPr>
      </w:pPr>
      <w:r>
        <w:rPr>
          <w:rFonts w:hint="eastAsia" w:ascii="宋体" w:hAnsi="宋体"/>
          <w:b/>
          <w:bCs/>
          <w:color w:val="000000"/>
          <w:kern w:val="0"/>
          <w:sz w:val="18"/>
          <w:szCs w:val="21"/>
        </w:rPr>
        <w:t>（二）投保人未按约定交纳保险费，被保险人发生保险事故的，保险人不负给付保险金责任。</w:t>
      </w:r>
    </w:p>
    <w:p>
      <w:pPr>
        <w:keepNext w:val="0"/>
        <w:keepLines w:val="0"/>
        <w:pageBreakBefore w:val="0"/>
        <w:widowControl w:val="0"/>
        <w:kinsoku/>
        <w:wordWrap/>
        <w:overflowPunct/>
        <w:topLinePunct w:val="0"/>
        <w:autoSpaceDE/>
        <w:autoSpaceDN/>
        <w:bidi w:val="0"/>
        <w:adjustRightInd w:val="0"/>
        <w:snapToGrid w:val="0"/>
        <w:spacing w:before="110" w:beforeLines="35" w:line="240" w:lineRule="auto"/>
        <w:ind w:left="2" w:leftChars="1" w:right="0" w:rightChars="0" w:firstLine="361" w:firstLineChars="200"/>
        <w:jc w:val="both"/>
        <w:rPr>
          <w:rFonts w:hint="eastAsia" w:ascii="宋体" w:hAnsi="宋体"/>
          <w:b/>
          <w:color w:val="000000"/>
          <w:sz w:val="18"/>
          <w:szCs w:val="21"/>
        </w:rPr>
      </w:pPr>
      <w:r>
        <w:rPr>
          <w:rFonts w:hint="eastAsia" w:ascii="宋体" w:hAnsi="宋体"/>
          <w:b/>
          <w:color w:val="000000"/>
          <w:sz w:val="18"/>
          <w:szCs w:val="21"/>
        </w:rPr>
        <w:t>第七条  保险期间</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0" w:firstLineChars="200"/>
        <w:jc w:val="both"/>
        <w:rPr>
          <w:rFonts w:hint="eastAsia" w:ascii="宋体" w:hAnsi="宋体"/>
          <w:color w:val="000000"/>
          <w:sz w:val="18"/>
          <w:szCs w:val="21"/>
        </w:rPr>
      </w:pPr>
      <w:r>
        <w:rPr>
          <w:rFonts w:hint="eastAsia" w:ascii="宋体" w:hAnsi="宋体"/>
          <w:color w:val="000000"/>
          <w:sz w:val="18"/>
          <w:szCs w:val="21"/>
        </w:rPr>
        <w:t>本合同的保险期间与主险合同的保险期间一致。</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1" w:firstLineChars="200"/>
        <w:jc w:val="both"/>
        <w:rPr>
          <w:rFonts w:hint="eastAsia" w:ascii="宋体" w:hAnsi="宋体"/>
          <w:b/>
          <w:color w:val="000000"/>
          <w:sz w:val="18"/>
          <w:szCs w:val="21"/>
        </w:rPr>
      </w:pPr>
      <w:r>
        <w:rPr>
          <w:rFonts w:hint="eastAsia" w:ascii="宋体" w:hAnsi="宋体"/>
          <w:b/>
          <w:color w:val="000000"/>
          <w:sz w:val="18"/>
          <w:szCs w:val="21"/>
        </w:rPr>
        <w:t>第八条  保险金额和保险费</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0" w:firstLineChars="200"/>
        <w:jc w:val="both"/>
        <w:rPr>
          <w:rFonts w:hint="eastAsia" w:ascii="宋体" w:hAnsi="宋体"/>
          <w:color w:val="000000"/>
          <w:kern w:val="0"/>
          <w:sz w:val="18"/>
          <w:szCs w:val="21"/>
        </w:rPr>
      </w:pPr>
      <w:r>
        <w:rPr>
          <w:rFonts w:hint="eastAsia" w:ascii="宋体" w:hAnsi="宋体"/>
          <w:color w:val="000000"/>
          <w:kern w:val="0"/>
          <w:sz w:val="18"/>
          <w:szCs w:val="21"/>
        </w:rPr>
        <w:t>（一）本合同的保险金额由保险合同双方约定并于保险单上载明。</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0" w:firstLineChars="200"/>
        <w:jc w:val="both"/>
        <w:rPr>
          <w:rFonts w:hint="eastAsia" w:ascii="宋体" w:hAnsi="宋体"/>
          <w:color w:val="000000"/>
          <w:kern w:val="0"/>
          <w:sz w:val="18"/>
          <w:szCs w:val="21"/>
        </w:rPr>
      </w:pPr>
      <w:r>
        <w:rPr>
          <w:rFonts w:hint="eastAsia" w:ascii="宋体" w:hAnsi="宋体"/>
          <w:color w:val="000000"/>
          <w:kern w:val="0"/>
          <w:sz w:val="18"/>
          <w:szCs w:val="21"/>
        </w:rPr>
        <w:t>（二）保险费按照保险金额和保险费率确定。投保人应于投保时一次支付全部保险费。</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1" w:firstLineChars="200"/>
        <w:jc w:val="both"/>
        <w:textAlignment w:val="bottom"/>
        <w:rPr>
          <w:rFonts w:hint="eastAsia" w:ascii="宋体" w:hAnsi="宋体"/>
          <w:b/>
          <w:color w:val="000000"/>
          <w:sz w:val="18"/>
          <w:szCs w:val="21"/>
        </w:rPr>
      </w:pPr>
      <w:r>
        <w:rPr>
          <w:rFonts w:hint="eastAsia" w:ascii="宋体" w:hAnsi="宋体"/>
          <w:b/>
          <w:color w:val="000000"/>
          <w:sz w:val="18"/>
          <w:szCs w:val="21"/>
        </w:rPr>
        <w:t>第九条  保险金的申请</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0" w:firstLineChars="200"/>
        <w:jc w:val="both"/>
        <w:rPr>
          <w:rFonts w:hint="eastAsia" w:ascii="宋体" w:hAnsi="宋体"/>
          <w:color w:val="000000"/>
          <w:sz w:val="18"/>
          <w:szCs w:val="21"/>
        </w:rPr>
      </w:pPr>
      <w:r>
        <w:rPr>
          <w:rFonts w:hint="eastAsia" w:ascii="宋体" w:hAnsi="宋体"/>
          <w:color w:val="000000"/>
          <w:sz w:val="18"/>
          <w:szCs w:val="21"/>
        </w:rPr>
        <w:t>由保险金受益人作为申请人填写保险金给付申请书，并凭下列证明和资料向保险人申请给付保险金：</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0" w:firstLineChars="200"/>
        <w:jc w:val="both"/>
        <w:rPr>
          <w:rFonts w:hint="eastAsia" w:ascii="宋体" w:hAnsi="宋体"/>
          <w:color w:val="000000"/>
          <w:sz w:val="18"/>
          <w:szCs w:val="21"/>
        </w:rPr>
      </w:pPr>
      <w:r>
        <w:rPr>
          <w:rFonts w:hint="eastAsia" w:ascii="宋体" w:hAnsi="宋体"/>
          <w:color w:val="000000"/>
          <w:sz w:val="18"/>
          <w:szCs w:val="21"/>
        </w:rPr>
        <w:t xml:space="preserve">1、保险单或其他保险凭证原件； </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0" w:firstLineChars="200"/>
        <w:jc w:val="both"/>
        <w:rPr>
          <w:rFonts w:hint="eastAsia" w:ascii="宋体" w:hAnsi="宋体"/>
          <w:color w:val="000000"/>
          <w:sz w:val="18"/>
          <w:szCs w:val="21"/>
        </w:rPr>
      </w:pPr>
      <w:r>
        <w:rPr>
          <w:rFonts w:hint="eastAsia" w:ascii="宋体" w:hAnsi="宋体"/>
          <w:color w:val="000000"/>
          <w:sz w:val="18"/>
          <w:szCs w:val="21"/>
        </w:rPr>
        <w:t>2、被保险人身份证明；</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0" w:firstLineChars="200"/>
        <w:jc w:val="both"/>
        <w:rPr>
          <w:rFonts w:hint="eastAsia" w:ascii="宋体" w:hAnsi="宋体"/>
          <w:color w:val="000000"/>
          <w:sz w:val="18"/>
          <w:szCs w:val="21"/>
        </w:rPr>
      </w:pPr>
      <w:r>
        <w:rPr>
          <w:rFonts w:hint="eastAsia" w:ascii="宋体" w:hAnsi="宋体"/>
          <w:color w:val="000000"/>
          <w:sz w:val="18"/>
          <w:szCs w:val="21"/>
        </w:rPr>
        <w:t>3、用人单位出具的被保险人人事证明或聘用合同；</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0" w:firstLineChars="200"/>
        <w:jc w:val="both"/>
        <w:rPr>
          <w:rFonts w:hint="eastAsia" w:ascii="宋体" w:hAnsi="宋体"/>
          <w:color w:val="000000"/>
          <w:sz w:val="18"/>
          <w:szCs w:val="21"/>
        </w:rPr>
      </w:pPr>
      <w:r>
        <w:rPr>
          <w:rFonts w:hint="eastAsia" w:ascii="宋体" w:hAnsi="宋体"/>
          <w:color w:val="000000"/>
          <w:sz w:val="18"/>
          <w:szCs w:val="21"/>
        </w:rPr>
        <w:t>4、</w:t>
      </w:r>
      <w:r>
        <w:rPr>
          <w:rFonts w:hint="eastAsia" w:ascii="宋体" w:hAnsi="宋体"/>
          <w:color w:val="000000"/>
          <w:kern w:val="0"/>
          <w:sz w:val="18"/>
          <w:szCs w:val="21"/>
        </w:rPr>
        <w:t>社会医疗保险主管机构指定医院出具的</w:t>
      </w:r>
      <w:r>
        <w:rPr>
          <w:rFonts w:hint="eastAsia" w:ascii="宋体" w:hAnsi="宋体"/>
          <w:bCs/>
          <w:color w:val="000000"/>
          <w:sz w:val="18"/>
          <w:szCs w:val="21"/>
        </w:rPr>
        <w:t>附有病理检查、化验检查及其他医疗仪器检查报告的医疗诊断证明、病历及医疗、医药费原始单据；</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0" w:firstLineChars="200"/>
        <w:jc w:val="both"/>
        <w:rPr>
          <w:rFonts w:hint="eastAsia" w:ascii="宋体" w:hAnsi="宋体"/>
          <w:bCs/>
          <w:color w:val="000000"/>
          <w:sz w:val="18"/>
          <w:szCs w:val="21"/>
        </w:rPr>
      </w:pPr>
      <w:r>
        <w:rPr>
          <w:rFonts w:hint="eastAsia" w:ascii="宋体" w:hAnsi="宋体"/>
          <w:color w:val="000000"/>
          <w:sz w:val="18"/>
          <w:szCs w:val="21"/>
        </w:rPr>
        <w:t>5、</w:t>
      </w:r>
      <w:r>
        <w:rPr>
          <w:rFonts w:hint="eastAsia" w:ascii="宋体" w:hAnsi="宋体"/>
          <w:bCs/>
          <w:color w:val="000000"/>
          <w:sz w:val="18"/>
          <w:szCs w:val="21"/>
        </w:rPr>
        <w:t>被保险人所能提供的与确认保险事故的性质、原因、伤害程度等有关的证明和资料。</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0" w:firstLineChars="200"/>
        <w:jc w:val="both"/>
        <w:rPr>
          <w:rFonts w:hint="eastAsia" w:ascii="宋体" w:hAnsi="宋体"/>
          <w:color w:val="000000"/>
          <w:sz w:val="18"/>
          <w:szCs w:val="21"/>
        </w:rPr>
      </w:pPr>
      <w:r>
        <w:rPr>
          <w:rFonts w:hint="eastAsia" w:ascii="宋体" w:hAnsi="宋体"/>
          <w:bCs/>
          <w:color w:val="000000"/>
          <w:sz w:val="18"/>
          <w:szCs w:val="21"/>
        </w:rPr>
        <w:t>6. 若保险金申请人委托他人申请的，还应提供授权委托书原件、委托人和受托人的身份证明等相关证明文件。</w:t>
      </w:r>
    </w:p>
    <w:p>
      <w:pPr>
        <w:keepNext w:val="0"/>
        <w:keepLines w:val="0"/>
        <w:pageBreakBefore w:val="0"/>
        <w:widowControl w:val="0"/>
        <w:kinsoku/>
        <w:wordWrap/>
        <w:overflowPunct/>
        <w:topLinePunct w:val="0"/>
        <w:autoSpaceDE/>
        <w:autoSpaceDN/>
        <w:bidi w:val="0"/>
        <w:adjustRightInd w:val="0"/>
        <w:snapToGrid w:val="0"/>
        <w:spacing w:before="110" w:beforeLines="35" w:line="240" w:lineRule="auto"/>
        <w:ind w:right="0" w:rightChars="0" w:firstLine="361" w:firstLineChars="200"/>
        <w:jc w:val="both"/>
        <w:rPr>
          <w:rFonts w:hint="eastAsia" w:ascii="宋体" w:hAnsi="宋体"/>
          <w:bCs/>
          <w:color w:val="000000"/>
          <w:sz w:val="18"/>
          <w:szCs w:val="21"/>
        </w:rPr>
      </w:pPr>
      <w:r>
        <w:rPr>
          <w:rFonts w:hint="eastAsia"/>
          <w:b/>
          <w:sz w:val="18"/>
        </w:rPr>
        <w:t>第十条　其他事项</w:t>
      </w:r>
    </w:p>
    <w:p>
      <w:pPr>
        <w:keepNext w:val="0"/>
        <w:keepLines w:val="0"/>
        <w:pageBreakBefore w:val="0"/>
        <w:widowControl w:val="0"/>
        <w:kinsoku/>
        <w:wordWrap/>
        <w:overflowPunct/>
        <w:topLinePunct w:val="0"/>
        <w:autoSpaceDE/>
        <w:autoSpaceDN/>
        <w:bidi w:val="0"/>
        <w:adjustRightInd w:val="0"/>
        <w:snapToGrid w:val="0"/>
        <w:spacing w:before="110" w:beforeLines="35" w:line="240" w:lineRule="auto"/>
        <w:ind w:right="0" w:rightChars="0"/>
        <w:jc w:val="both"/>
        <w:rPr>
          <w:rFonts w:hint="eastAsia" w:ascii="宋体" w:hAnsi="宋体"/>
          <w:bCs/>
          <w:color w:val="000000"/>
          <w:sz w:val="18"/>
          <w:szCs w:val="21"/>
        </w:rPr>
      </w:pPr>
      <w:r>
        <w:rPr>
          <w:rFonts w:hint="eastAsia"/>
          <w:bCs/>
          <w:sz w:val="18"/>
        </w:rPr>
        <w:t>　　被保险人须在治疗地社会医疗保险经办机构指定医院治疗。意外伤害急诊不受此限，但经急诊情况稳定后，须转入上述医院治疗。</w:t>
      </w:r>
    </w:p>
    <w:p>
      <w:pPr>
        <w:keepNext w:val="0"/>
        <w:keepLines w:val="0"/>
        <w:pageBreakBefore w:val="0"/>
        <w:widowControl w:val="0"/>
        <w:kinsoku/>
        <w:wordWrap/>
        <w:overflowPunct/>
        <w:topLinePunct w:val="0"/>
        <w:autoSpaceDE/>
        <w:autoSpaceDN/>
        <w:bidi w:val="0"/>
        <w:adjustRightInd w:val="0"/>
        <w:snapToGrid w:val="0"/>
        <w:spacing w:before="110" w:beforeLines="35" w:line="240" w:lineRule="auto"/>
        <w:ind w:right="0" w:rightChars="0" w:firstLine="361" w:firstLineChars="200"/>
        <w:jc w:val="both"/>
        <w:rPr>
          <w:rFonts w:hint="eastAsia" w:ascii="宋体" w:hAnsi="宋体"/>
          <w:b/>
          <w:color w:val="000000"/>
          <w:sz w:val="18"/>
          <w:szCs w:val="21"/>
        </w:rPr>
      </w:pPr>
      <w:r>
        <w:rPr>
          <w:rFonts w:hint="eastAsia" w:ascii="宋体" w:hAnsi="宋体"/>
          <w:b/>
          <w:color w:val="000000"/>
          <w:sz w:val="18"/>
          <w:szCs w:val="21"/>
        </w:rPr>
        <w:t>第十一条 本合同与主险合同的关系</w:t>
      </w:r>
    </w:p>
    <w:p>
      <w:pPr>
        <w:keepNext w:val="0"/>
        <w:keepLines w:val="0"/>
        <w:pageBreakBefore w:val="0"/>
        <w:widowControl w:val="0"/>
        <w:kinsoku/>
        <w:wordWrap/>
        <w:overflowPunct/>
        <w:topLinePunct w:val="0"/>
        <w:autoSpaceDE/>
        <w:autoSpaceDN/>
        <w:bidi w:val="0"/>
        <w:adjustRightInd w:val="0"/>
        <w:snapToGrid w:val="0"/>
        <w:spacing w:before="110" w:beforeLines="35" w:line="240" w:lineRule="auto"/>
        <w:ind w:right="0" w:rightChars="0" w:firstLine="360" w:firstLineChars="200"/>
        <w:jc w:val="both"/>
        <w:rPr>
          <w:rFonts w:hint="eastAsia" w:ascii="宋体" w:hAnsi="宋体"/>
          <w:color w:val="000000"/>
          <w:sz w:val="18"/>
          <w:szCs w:val="21"/>
        </w:rPr>
      </w:pPr>
      <w:r>
        <w:rPr>
          <w:rFonts w:hint="eastAsia" w:ascii="宋体" w:hAnsi="宋体"/>
          <w:color w:val="000000"/>
          <w:sz w:val="18"/>
          <w:szCs w:val="21"/>
        </w:rPr>
        <w:t>（一）主险合同终止时，本合同同时终止，保险人向投保人退还未满期净保费。</w:t>
      </w:r>
    </w:p>
    <w:p>
      <w:pPr>
        <w:keepNext w:val="0"/>
        <w:keepLines w:val="0"/>
        <w:pageBreakBefore w:val="0"/>
        <w:widowControl w:val="0"/>
        <w:kinsoku/>
        <w:wordWrap/>
        <w:overflowPunct/>
        <w:topLinePunct w:val="0"/>
        <w:autoSpaceDE/>
        <w:autoSpaceDN/>
        <w:bidi w:val="0"/>
        <w:adjustRightInd w:val="0"/>
        <w:snapToGrid w:val="0"/>
        <w:spacing w:before="110" w:beforeLines="35" w:line="240" w:lineRule="auto"/>
        <w:ind w:right="0" w:rightChars="0" w:firstLine="360" w:firstLineChars="200"/>
        <w:jc w:val="both"/>
        <w:rPr>
          <w:rFonts w:hint="eastAsia" w:ascii="宋体" w:hAnsi="宋体"/>
          <w:color w:val="000000"/>
          <w:sz w:val="18"/>
          <w:szCs w:val="21"/>
        </w:rPr>
      </w:pPr>
      <w:r>
        <w:rPr>
          <w:rFonts w:hint="eastAsia" w:ascii="宋体" w:hAnsi="宋体"/>
          <w:color w:val="000000"/>
          <w:sz w:val="18"/>
          <w:szCs w:val="21"/>
        </w:rPr>
        <w:t>（二）若投保人解除主险合同，本合同一并解除，合同解除后，保险人参照主险合同有关规定退还本合同的未满期保险费。</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0" w:firstLineChars="200"/>
        <w:jc w:val="both"/>
        <w:textAlignment w:val="bottom"/>
        <w:rPr>
          <w:rFonts w:hint="eastAsia" w:ascii="宋体" w:hAnsi="宋体"/>
          <w:color w:val="000000"/>
          <w:sz w:val="18"/>
          <w:szCs w:val="21"/>
        </w:rPr>
      </w:pPr>
      <w:r>
        <w:rPr>
          <w:rFonts w:hint="eastAsia" w:ascii="宋体" w:hAnsi="宋体"/>
          <w:color w:val="000000"/>
          <w:sz w:val="18"/>
          <w:szCs w:val="21"/>
        </w:rPr>
        <w:t>（三）若本合同条款与主险合同条款互有冲突，则以本合同条款为准；本合同未尽事宜，按主险合同相应条款执行。</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1" w:firstLineChars="200"/>
        <w:jc w:val="both"/>
        <w:rPr>
          <w:rFonts w:hint="eastAsia" w:ascii="宋体" w:hAnsi="宋体"/>
          <w:color w:val="000000"/>
          <w:sz w:val="18"/>
          <w:szCs w:val="21"/>
        </w:rPr>
      </w:pPr>
      <w:r>
        <w:rPr>
          <w:rFonts w:hint="eastAsia" w:ascii="宋体" w:hAnsi="宋体"/>
          <w:b/>
          <w:color w:val="000000"/>
          <w:sz w:val="18"/>
          <w:szCs w:val="21"/>
        </w:rPr>
        <w:t>释义</w:t>
      </w:r>
    </w:p>
    <w:p>
      <w:pPr>
        <w:keepNext w:val="0"/>
        <w:keepLines w:val="0"/>
        <w:pageBreakBefore w:val="0"/>
        <w:widowControl w:val="0"/>
        <w:kinsoku/>
        <w:wordWrap/>
        <w:overflowPunct/>
        <w:topLinePunct w:val="0"/>
        <w:autoSpaceDE/>
        <w:autoSpaceDN/>
        <w:bidi w:val="0"/>
        <w:snapToGrid w:val="0"/>
        <w:spacing w:before="110" w:beforeLines="35" w:line="240" w:lineRule="auto"/>
        <w:ind w:right="0" w:rightChars="0" w:firstLine="361" w:firstLineChars="200"/>
        <w:jc w:val="both"/>
        <w:rPr>
          <w:rFonts w:hint="eastAsia" w:ascii="宋体" w:hAnsi="宋体"/>
          <w:b/>
          <w:color w:val="000000"/>
          <w:sz w:val="18"/>
          <w:szCs w:val="21"/>
        </w:rPr>
      </w:pPr>
      <w:r>
        <w:rPr>
          <w:rFonts w:hint="eastAsia" w:ascii="宋体" w:hAnsi="宋体"/>
          <w:b/>
          <w:color w:val="000000"/>
          <w:sz w:val="18"/>
          <w:szCs w:val="21"/>
        </w:rPr>
        <w:t>医疗费用：</w:t>
      </w:r>
      <w:r>
        <w:rPr>
          <w:rFonts w:hint="eastAsia" w:ascii="宋体" w:hAnsi="宋体"/>
          <w:color w:val="000000"/>
          <w:sz w:val="18"/>
          <w:szCs w:val="21"/>
        </w:rPr>
        <w:t>是指被保险人因意外伤害事故医疗所支出的药品费、住院费、治疗费、检查费、材料费。所有药品和诊疗项目参照当地社会保险部门规定的《基本医疗保险药品目录》和《基本医疗保险诊疗项目》办理。</w:t>
      </w:r>
      <w:r>
        <w:rPr>
          <w:rFonts w:hint="eastAsia" w:ascii="宋体" w:hAnsi="宋体"/>
          <w:b/>
          <w:color w:val="000000"/>
          <w:sz w:val="18"/>
          <w:szCs w:val="21"/>
        </w:rPr>
        <w:t>保险人特别规定下列费用不予负责：1、水电费、取暖费、膳食费、空调费、营养费、陪床费；2、按当地社会保险部门规定应自费购买的器皿、器具费用；3、安装假齿、假眼、假肢或其他附属品的费用；4、除意外伤害所致的外科整形手术以外的美容费用。</w:t>
      </w:r>
    </w:p>
    <w:p>
      <w:pPr>
        <w:keepNext w:val="0"/>
        <w:keepLines w:val="0"/>
        <w:pageBreakBefore w:val="0"/>
        <w:kinsoku/>
        <w:wordWrap/>
        <w:overflowPunct/>
        <w:topLinePunct w:val="0"/>
        <w:autoSpaceDE/>
        <w:autoSpaceDN/>
        <w:bidi w:val="0"/>
        <w:snapToGrid w:val="0"/>
        <w:spacing w:before="156" w:beforeLines="50" w:after="156" w:afterLines="50" w:line="240" w:lineRule="auto"/>
        <w:ind w:right="0" w:rightChars="0" w:firstLine="361" w:firstLineChars="200"/>
        <w:rPr>
          <w:rFonts w:hint="eastAsia" w:ascii="宋体" w:hAnsi="宋体"/>
          <w:b/>
          <w:color w:val="000000"/>
          <w:sz w:val="18"/>
          <w:szCs w:val="21"/>
        </w:rPr>
      </w:pPr>
    </w:p>
    <w:p>
      <w:pPr>
        <w:keepNext w:val="0"/>
        <w:keepLines w:val="0"/>
        <w:pageBreakBefore w:val="0"/>
        <w:kinsoku/>
        <w:wordWrap/>
        <w:overflowPunct/>
        <w:topLinePunct w:val="0"/>
        <w:autoSpaceDE/>
        <w:autoSpaceDN/>
        <w:bidi w:val="0"/>
        <w:snapToGrid w:val="0"/>
        <w:spacing w:before="156" w:beforeLines="50" w:after="156" w:afterLines="50" w:line="240" w:lineRule="auto"/>
        <w:ind w:right="0" w:rightChars="0" w:firstLine="361" w:firstLineChars="200"/>
        <w:rPr>
          <w:rFonts w:hint="eastAsia" w:ascii="宋体" w:hAnsi="宋体"/>
          <w:b/>
          <w:color w:val="000000"/>
          <w:sz w:val="18"/>
          <w:szCs w:val="21"/>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2" w:firstLineChars="200"/>
        <w:jc w:val="center"/>
        <w:textAlignment w:val="auto"/>
        <w:outlineLvl w:val="9"/>
        <w:rPr>
          <w:rFonts w:hint="eastAsia" w:ascii="宋体" w:hAnsi="宋体"/>
          <w:b/>
          <w:bCs/>
          <w:color w:val="000000"/>
          <w:sz w:val="28"/>
          <w:szCs w:val="21"/>
        </w:rPr>
      </w:pPr>
      <w:r>
        <w:rPr>
          <w:rFonts w:hint="eastAsia" w:ascii="宋体" w:hAnsi="宋体"/>
          <w:b/>
          <w:bCs/>
          <w:color w:val="000000"/>
          <w:sz w:val="28"/>
          <w:szCs w:val="32"/>
        </w:rPr>
        <w:t>建筑工程团体意外伤害附加住院津贴保险条款</w:t>
      </w:r>
    </w:p>
    <w:p>
      <w:pPr>
        <w:keepNext w:val="0"/>
        <w:keepLines w:val="0"/>
        <w:pageBreakBefore w:val="0"/>
        <w:widowControl w:val="0"/>
        <w:kinsoku/>
        <w:wordWrap/>
        <w:overflowPunct/>
        <w:topLinePunct w:val="0"/>
        <w:autoSpaceDE/>
        <w:autoSpaceDN/>
        <w:bidi w:val="0"/>
        <w:spacing w:before="110" w:beforeLines="35" w:line="240" w:lineRule="auto"/>
        <w:ind w:left="0" w:leftChars="0" w:right="0" w:rightChars="0" w:firstLine="361" w:firstLineChars="200"/>
        <w:jc w:val="both"/>
        <w:rPr>
          <w:rFonts w:hint="eastAsia" w:ascii="宋体" w:hAnsi="宋体"/>
          <w:b/>
          <w:color w:val="000000"/>
          <w:sz w:val="18"/>
          <w:szCs w:val="21"/>
        </w:rPr>
      </w:pPr>
      <w:r>
        <w:rPr>
          <w:rFonts w:hint="eastAsia" w:ascii="宋体" w:hAnsi="宋体"/>
          <w:b/>
          <w:color w:val="000000"/>
          <w:sz w:val="18"/>
          <w:szCs w:val="21"/>
        </w:rPr>
        <w:t>第一条 合同构成</w:t>
      </w:r>
    </w:p>
    <w:p>
      <w:pPr>
        <w:keepNext w:val="0"/>
        <w:keepLines w:val="0"/>
        <w:pageBreakBefore w:val="0"/>
        <w:widowControl w:val="0"/>
        <w:kinsoku/>
        <w:wordWrap/>
        <w:overflowPunct/>
        <w:topLinePunct w:val="0"/>
        <w:autoSpaceDE/>
        <w:autoSpaceDN/>
        <w:bidi w:val="0"/>
        <w:spacing w:before="110" w:beforeLines="35" w:line="240" w:lineRule="auto"/>
        <w:ind w:left="0" w:leftChars="0" w:right="0" w:rightChars="0" w:firstLine="360" w:firstLineChars="200"/>
        <w:jc w:val="both"/>
        <w:rPr>
          <w:rFonts w:hint="eastAsia" w:ascii="宋体" w:hAnsi="宋体"/>
          <w:bCs/>
          <w:color w:val="000000"/>
          <w:sz w:val="18"/>
          <w:szCs w:val="21"/>
        </w:rPr>
      </w:pPr>
      <w:r>
        <w:rPr>
          <w:rFonts w:hint="eastAsia" w:ascii="宋体" w:hAnsi="宋体"/>
          <w:bCs/>
          <w:color w:val="000000"/>
          <w:sz w:val="18"/>
          <w:szCs w:val="21"/>
        </w:rPr>
        <w:t>华安附加建筑工程团体意外伤害住院津贴保险（以下简称“本附加险”）仅在投保了保险人含意外伤害保险责任的建筑工程团体人身意外伤害保险（以下简称“主险”）的基础上附加。</w:t>
      </w:r>
    </w:p>
    <w:p>
      <w:pPr>
        <w:keepNext w:val="0"/>
        <w:keepLines w:val="0"/>
        <w:pageBreakBefore w:val="0"/>
        <w:widowControl w:val="0"/>
        <w:kinsoku/>
        <w:wordWrap/>
        <w:overflowPunct/>
        <w:topLinePunct w:val="0"/>
        <w:autoSpaceDE/>
        <w:autoSpaceDN/>
        <w:bidi w:val="0"/>
        <w:spacing w:before="110" w:beforeLines="35" w:line="240" w:lineRule="auto"/>
        <w:ind w:left="0" w:leftChars="0" w:right="0" w:rightChars="0" w:firstLine="360" w:firstLineChars="200"/>
        <w:jc w:val="both"/>
        <w:rPr>
          <w:rFonts w:hint="eastAsia" w:ascii="宋体" w:hAnsi="宋体"/>
          <w:bCs/>
          <w:color w:val="000000"/>
          <w:sz w:val="18"/>
          <w:szCs w:val="21"/>
        </w:rPr>
      </w:pPr>
      <w:r>
        <w:rPr>
          <w:rFonts w:hint="eastAsia" w:ascii="宋体" w:hAnsi="宋体"/>
          <w:bCs/>
          <w:color w:val="000000"/>
          <w:sz w:val="18"/>
          <w:szCs w:val="21"/>
        </w:rPr>
        <w:t>本附加险合同由保险条款、投保单、保险单、保险凭证以及批单等组成。凡涉及本保险合同的约定，均应采用书面形式。</w:t>
      </w:r>
    </w:p>
    <w:p>
      <w:pPr>
        <w:keepNext w:val="0"/>
        <w:keepLines w:val="0"/>
        <w:pageBreakBefore w:val="0"/>
        <w:widowControl w:val="0"/>
        <w:kinsoku/>
        <w:wordWrap/>
        <w:overflowPunct/>
        <w:topLinePunct w:val="0"/>
        <w:autoSpaceDE/>
        <w:autoSpaceDN/>
        <w:bidi w:val="0"/>
        <w:snapToGrid w:val="0"/>
        <w:spacing w:before="110" w:beforeLines="35" w:line="240" w:lineRule="auto"/>
        <w:ind w:left="0" w:leftChars="0" w:right="0" w:rightChars="0" w:firstLine="361" w:firstLineChars="200"/>
        <w:jc w:val="both"/>
        <w:textAlignment w:val="bottom"/>
        <w:outlineLvl w:val="0"/>
        <w:rPr>
          <w:rFonts w:hint="eastAsia" w:ascii="宋体" w:hAnsi="宋体"/>
          <w:b/>
          <w:color w:val="000000"/>
          <w:sz w:val="18"/>
          <w:szCs w:val="21"/>
        </w:rPr>
      </w:pPr>
      <w:r>
        <w:rPr>
          <w:rFonts w:hint="eastAsia" w:ascii="宋体" w:hAnsi="宋体"/>
          <w:b/>
          <w:color w:val="000000"/>
          <w:sz w:val="18"/>
          <w:szCs w:val="21"/>
        </w:rPr>
        <w:t>第二条 被保险人</w:t>
      </w:r>
    </w:p>
    <w:p>
      <w:pPr>
        <w:keepNext w:val="0"/>
        <w:keepLines w:val="0"/>
        <w:pageBreakBefore w:val="0"/>
        <w:widowControl w:val="0"/>
        <w:kinsoku/>
        <w:wordWrap/>
        <w:overflowPunct/>
        <w:topLinePunct w:val="0"/>
        <w:autoSpaceDE/>
        <w:autoSpaceDN/>
        <w:bidi w:val="0"/>
        <w:snapToGrid w:val="0"/>
        <w:spacing w:before="110" w:beforeLines="35" w:line="240" w:lineRule="auto"/>
        <w:ind w:left="0" w:leftChars="0" w:right="0" w:rightChars="0" w:firstLine="360" w:firstLineChars="200"/>
        <w:jc w:val="both"/>
        <w:rPr>
          <w:rFonts w:hint="eastAsia" w:ascii="宋体" w:hAnsi="宋体"/>
          <w:color w:val="000000"/>
          <w:kern w:val="0"/>
          <w:sz w:val="18"/>
          <w:szCs w:val="21"/>
        </w:rPr>
      </w:pPr>
      <w:r>
        <w:rPr>
          <w:rFonts w:hint="eastAsia" w:ascii="宋体" w:hAnsi="宋体"/>
          <w:color w:val="000000"/>
          <w:kern w:val="0"/>
          <w:sz w:val="18"/>
          <w:szCs w:val="21"/>
        </w:rPr>
        <w:t>与主险合同中的被保险人一致。</w:t>
      </w:r>
    </w:p>
    <w:p>
      <w:pPr>
        <w:keepNext w:val="0"/>
        <w:keepLines w:val="0"/>
        <w:pageBreakBefore w:val="0"/>
        <w:widowControl w:val="0"/>
        <w:kinsoku/>
        <w:wordWrap/>
        <w:overflowPunct/>
        <w:topLinePunct w:val="0"/>
        <w:autoSpaceDE/>
        <w:autoSpaceDN/>
        <w:bidi w:val="0"/>
        <w:snapToGrid w:val="0"/>
        <w:spacing w:before="110" w:beforeLines="35" w:line="240" w:lineRule="auto"/>
        <w:ind w:left="0" w:leftChars="0" w:right="0" w:rightChars="0" w:firstLine="354" w:firstLineChars="196"/>
        <w:jc w:val="both"/>
        <w:rPr>
          <w:rFonts w:hint="eastAsia" w:ascii="宋体" w:hAnsi="宋体"/>
          <w:b/>
          <w:bCs/>
          <w:color w:val="000000"/>
          <w:kern w:val="0"/>
          <w:sz w:val="18"/>
          <w:szCs w:val="21"/>
        </w:rPr>
      </w:pPr>
      <w:r>
        <w:rPr>
          <w:rFonts w:hint="eastAsia" w:ascii="宋体" w:hAnsi="宋体"/>
          <w:b/>
          <w:bCs/>
          <w:color w:val="000000"/>
          <w:kern w:val="0"/>
          <w:sz w:val="18"/>
          <w:szCs w:val="21"/>
        </w:rPr>
        <w:t>第三条 投保人</w:t>
      </w:r>
    </w:p>
    <w:p>
      <w:pPr>
        <w:keepNext w:val="0"/>
        <w:keepLines w:val="0"/>
        <w:pageBreakBefore w:val="0"/>
        <w:widowControl w:val="0"/>
        <w:kinsoku/>
        <w:wordWrap/>
        <w:overflowPunct/>
        <w:topLinePunct w:val="0"/>
        <w:autoSpaceDE/>
        <w:autoSpaceDN/>
        <w:bidi w:val="0"/>
        <w:snapToGrid w:val="0"/>
        <w:spacing w:before="110" w:beforeLines="35" w:line="240" w:lineRule="auto"/>
        <w:ind w:left="0" w:leftChars="0" w:right="0" w:rightChars="0" w:firstLine="360" w:firstLineChars="200"/>
        <w:jc w:val="both"/>
        <w:rPr>
          <w:rFonts w:hint="eastAsia" w:ascii="宋体" w:hAnsi="宋体"/>
          <w:color w:val="000000"/>
          <w:kern w:val="0"/>
          <w:sz w:val="18"/>
          <w:szCs w:val="21"/>
        </w:rPr>
      </w:pPr>
      <w:r>
        <w:rPr>
          <w:rFonts w:hint="eastAsia" w:ascii="宋体" w:hAnsi="宋体"/>
          <w:color w:val="000000"/>
          <w:kern w:val="0"/>
          <w:sz w:val="18"/>
          <w:szCs w:val="21"/>
        </w:rPr>
        <w:t>与主险合同中的投保人一致。</w:t>
      </w:r>
    </w:p>
    <w:p>
      <w:pPr>
        <w:keepNext w:val="0"/>
        <w:keepLines w:val="0"/>
        <w:pageBreakBefore w:val="0"/>
        <w:widowControl w:val="0"/>
        <w:kinsoku/>
        <w:wordWrap/>
        <w:overflowPunct/>
        <w:topLinePunct w:val="0"/>
        <w:autoSpaceDE/>
        <w:autoSpaceDN/>
        <w:bidi w:val="0"/>
        <w:snapToGrid w:val="0"/>
        <w:spacing w:before="110" w:beforeLines="35" w:line="240" w:lineRule="auto"/>
        <w:ind w:left="0" w:leftChars="0" w:right="0" w:rightChars="0" w:firstLine="354" w:firstLineChars="196"/>
        <w:jc w:val="both"/>
        <w:rPr>
          <w:rFonts w:hint="eastAsia" w:ascii="宋体" w:hAnsi="宋体"/>
          <w:b/>
          <w:bCs/>
          <w:color w:val="000000"/>
          <w:kern w:val="0"/>
          <w:sz w:val="18"/>
          <w:szCs w:val="21"/>
        </w:rPr>
      </w:pPr>
      <w:r>
        <w:rPr>
          <w:rFonts w:hint="eastAsia" w:ascii="宋体" w:hAnsi="宋体"/>
          <w:b/>
          <w:bCs/>
          <w:color w:val="000000"/>
          <w:kern w:val="0"/>
          <w:sz w:val="18"/>
          <w:szCs w:val="21"/>
        </w:rPr>
        <w:t>第四条 受益人</w:t>
      </w:r>
    </w:p>
    <w:p>
      <w:pPr>
        <w:keepNext w:val="0"/>
        <w:keepLines w:val="0"/>
        <w:pageBreakBefore w:val="0"/>
        <w:widowControl w:val="0"/>
        <w:kinsoku/>
        <w:wordWrap/>
        <w:overflowPunct/>
        <w:topLinePunct w:val="0"/>
        <w:autoSpaceDE/>
        <w:autoSpaceDN/>
        <w:bidi w:val="0"/>
        <w:spacing w:before="110" w:beforeLines="35" w:line="240" w:lineRule="auto"/>
        <w:ind w:left="0" w:leftChars="0" w:right="0" w:rightChars="0" w:firstLine="360" w:firstLineChars="200"/>
        <w:jc w:val="both"/>
        <w:rPr>
          <w:rFonts w:hint="eastAsia" w:ascii="宋体" w:hAnsi="宋体"/>
          <w:bCs/>
          <w:color w:val="000000"/>
          <w:sz w:val="18"/>
          <w:szCs w:val="21"/>
        </w:rPr>
      </w:pPr>
      <w:r>
        <w:rPr>
          <w:rFonts w:hint="eastAsia" w:ascii="宋体" w:hAnsi="宋体"/>
          <w:color w:val="000000"/>
          <w:kern w:val="0"/>
          <w:sz w:val="18"/>
          <w:szCs w:val="21"/>
        </w:rPr>
        <w:t>除另有约定外，</w:t>
      </w:r>
      <w:r>
        <w:rPr>
          <w:rFonts w:hint="eastAsia" w:ascii="宋体" w:hAnsi="宋体"/>
          <w:bCs/>
          <w:color w:val="000000"/>
          <w:sz w:val="18"/>
          <w:szCs w:val="21"/>
        </w:rPr>
        <w:t>本附加险保险金的受益人与主险残疾保险金的受益人相同</w:t>
      </w:r>
      <w:r>
        <w:rPr>
          <w:rFonts w:hint="eastAsia" w:ascii="宋体" w:hAnsi="宋体"/>
          <w:color w:val="000000"/>
          <w:sz w:val="18"/>
          <w:szCs w:val="21"/>
        </w:rPr>
        <w:t>。</w:t>
      </w:r>
    </w:p>
    <w:p>
      <w:pPr>
        <w:keepNext w:val="0"/>
        <w:keepLines w:val="0"/>
        <w:pageBreakBefore w:val="0"/>
        <w:widowControl w:val="0"/>
        <w:kinsoku/>
        <w:wordWrap/>
        <w:overflowPunct/>
        <w:topLinePunct w:val="0"/>
        <w:autoSpaceDE/>
        <w:autoSpaceDN/>
        <w:bidi w:val="0"/>
        <w:spacing w:before="110" w:beforeLines="35" w:line="240" w:lineRule="auto"/>
        <w:ind w:left="0" w:leftChars="0" w:right="0" w:rightChars="0" w:firstLine="361" w:firstLineChars="200"/>
        <w:jc w:val="both"/>
        <w:rPr>
          <w:rFonts w:hint="eastAsia" w:ascii="宋体" w:hAnsi="宋体"/>
          <w:b/>
          <w:color w:val="000000"/>
          <w:sz w:val="18"/>
          <w:szCs w:val="21"/>
        </w:rPr>
      </w:pPr>
      <w:r>
        <w:rPr>
          <w:rFonts w:hint="eastAsia" w:ascii="宋体" w:hAnsi="宋体"/>
          <w:b/>
          <w:color w:val="000000"/>
          <w:sz w:val="18"/>
          <w:szCs w:val="21"/>
        </w:rPr>
        <w:t>第五条　保险责任</w:t>
      </w:r>
    </w:p>
    <w:p>
      <w:pPr>
        <w:keepNext w:val="0"/>
        <w:keepLines w:val="0"/>
        <w:pageBreakBefore w:val="0"/>
        <w:widowControl w:val="0"/>
        <w:kinsoku/>
        <w:wordWrap/>
        <w:overflowPunct/>
        <w:topLinePunct w:val="0"/>
        <w:autoSpaceDE/>
        <w:autoSpaceDN/>
        <w:bidi w:val="0"/>
        <w:spacing w:before="110" w:beforeLines="35" w:line="240" w:lineRule="auto"/>
        <w:ind w:left="0" w:leftChars="0" w:right="0" w:rightChars="0" w:firstLine="360" w:firstLineChars="200"/>
        <w:jc w:val="both"/>
        <w:rPr>
          <w:rFonts w:hint="eastAsia" w:ascii="宋体" w:hAnsi="宋体"/>
          <w:bCs/>
          <w:color w:val="000000"/>
          <w:sz w:val="18"/>
          <w:szCs w:val="21"/>
        </w:rPr>
      </w:pPr>
      <w:r>
        <w:rPr>
          <w:rFonts w:hint="eastAsia" w:ascii="宋体" w:hAnsi="宋体"/>
          <w:bCs/>
          <w:color w:val="000000"/>
          <w:sz w:val="18"/>
          <w:szCs w:val="21"/>
        </w:rPr>
        <w:t>在本附加险保险期间内，且在主险合同有效的前提下，被保险人因遭受主险合同保险责任范围内的意外伤害，并自事故发生之日起180日内因该事故在</w:t>
      </w:r>
      <w:r>
        <w:rPr>
          <w:rFonts w:hint="eastAsia" w:ascii="宋体" w:hAnsi="宋体"/>
          <w:color w:val="000000"/>
          <w:sz w:val="18"/>
          <w:szCs w:val="21"/>
        </w:rPr>
        <w:t>治疗地社会医疗保险经办机构指定医院</w:t>
      </w:r>
      <w:r>
        <w:rPr>
          <w:rFonts w:hint="eastAsia" w:ascii="宋体" w:hAnsi="宋体"/>
          <w:bCs/>
          <w:color w:val="000000"/>
          <w:sz w:val="18"/>
          <w:szCs w:val="21"/>
        </w:rPr>
        <w:t>住院治疗，保险人按其实际住院天数以及投保时双方约定并在保险单上载明的该被保险人的日住院津贴标准给付住院津贴金。</w:t>
      </w:r>
    </w:p>
    <w:p>
      <w:pPr>
        <w:keepNext w:val="0"/>
        <w:keepLines w:val="0"/>
        <w:pageBreakBefore w:val="0"/>
        <w:widowControl w:val="0"/>
        <w:kinsoku/>
        <w:wordWrap/>
        <w:overflowPunct/>
        <w:topLinePunct w:val="0"/>
        <w:autoSpaceDE/>
        <w:autoSpaceDN/>
        <w:bidi w:val="0"/>
        <w:spacing w:before="110" w:beforeLines="35" w:line="240" w:lineRule="auto"/>
        <w:ind w:left="0" w:leftChars="0" w:right="0" w:rightChars="0" w:firstLine="360" w:firstLineChars="200"/>
        <w:jc w:val="both"/>
        <w:rPr>
          <w:rFonts w:hint="eastAsia" w:ascii="宋体" w:hAnsi="宋体"/>
          <w:bCs/>
          <w:color w:val="000000"/>
          <w:sz w:val="18"/>
          <w:szCs w:val="21"/>
        </w:rPr>
      </w:pPr>
      <w:r>
        <w:rPr>
          <w:rFonts w:hint="eastAsia" w:ascii="宋体" w:hAnsi="宋体"/>
          <w:bCs/>
          <w:color w:val="000000"/>
          <w:sz w:val="18"/>
          <w:szCs w:val="21"/>
        </w:rPr>
        <w:t>无论被保险人一次或多次遭受意外伤害而进行住院治疗，保险人均按规定给付意外伤害住院津贴金，但在保险期间内对同一被保险人同一次住院的住院津贴给付天数以90天为限，累计住院津贴给付的天数以180天为限，当累计住院津贴给付天数达到180天时，本附加险对该被保险人的保险责任终止。</w:t>
      </w:r>
    </w:p>
    <w:p>
      <w:pPr>
        <w:keepNext w:val="0"/>
        <w:keepLines w:val="0"/>
        <w:pageBreakBefore w:val="0"/>
        <w:widowControl w:val="0"/>
        <w:kinsoku/>
        <w:wordWrap/>
        <w:overflowPunct/>
        <w:topLinePunct w:val="0"/>
        <w:autoSpaceDE/>
        <w:autoSpaceDN/>
        <w:bidi w:val="0"/>
        <w:spacing w:before="110" w:beforeLines="35" w:line="240" w:lineRule="auto"/>
        <w:ind w:left="0" w:leftChars="0" w:right="0" w:rightChars="0" w:firstLine="361" w:firstLineChars="200"/>
        <w:jc w:val="both"/>
        <w:rPr>
          <w:rFonts w:hint="eastAsia" w:ascii="宋体" w:hAnsi="宋体"/>
          <w:b/>
          <w:color w:val="000000"/>
          <w:sz w:val="18"/>
          <w:szCs w:val="21"/>
        </w:rPr>
      </w:pPr>
      <w:r>
        <w:rPr>
          <w:rFonts w:hint="eastAsia" w:ascii="宋体" w:hAnsi="宋体"/>
          <w:b/>
          <w:color w:val="000000"/>
          <w:sz w:val="18"/>
          <w:szCs w:val="21"/>
        </w:rPr>
        <w:t>第七条 保险期间</w:t>
      </w:r>
    </w:p>
    <w:p>
      <w:pPr>
        <w:keepNext w:val="0"/>
        <w:keepLines w:val="0"/>
        <w:pageBreakBefore w:val="0"/>
        <w:widowControl w:val="0"/>
        <w:kinsoku/>
        <w:wordWrap/>
        <w:overflowPunct/>
        <w:topLinePunct w:val="0"/>
        <w:autoSpaceDE/>
        <w:autoSpaceDN/>
        <w:bidi w:val="0"/>
        <w:spacing w:before="110" w:beforeLines="35" w:line="240" w:lineRule="auto"/>
        <w:ind w:left="0" w:leftChars="0" w:right="0" w:rightChars="0" w:firstLine="360" w:firstLineChars="200"/>
        <w:jc w:val="both"/>
        <w:rPr>
          <w:rFonts w:hint="eastAsia" w:ascii="宋体" w:hAnsi="宋体"/>
          <w:bCs/>
          <w:color w:val="000000"/>
          <w:sz w:val="18"/>
          <w:szCs w:val="21"/>
        </w:rPr>
      </w:pPr>
      <w:r>
        <w:rPr>
          <w:rFonts w:hint="eastAsia" w:ascii="宋体" w:hAnsi="宋体"/>
          <w:bCs/>
          <w:color w:val="000000"/>
          <w:sz w:val="18"/>
          <w:szCs w:val="21"/>
        </w:rPr>
        <w:t>本附加险与主险同时投保，保险期间与主险保险期间一致。</w:t>
      </w:r>
    </w:p>
    <w:p>
      <w:pPr>
        <w:keepNext w:val="0"/>
        <w:keepLines w:val="0"/>
        <w:pageBreakBefore w:val="0"/>
        <w:widowControl w:val="0"/>
        <w:kinsoku/>
        <w:wordWrap/>
        <w:overflowPunct/>
        <w:topLinePunct w:val="0"/>
        <w:autoSpaceDE/>
        <w:autoSpaceDN/>
        <w:bidi w:val="0"/>
        <w:spacing w:before="110" w:beforeLines="35" w:line="240" w:lineRule="auto"/>
        <w:ind w:left="0" w:leftChars="0" w:right="0" w:rightChars="0" w:firstLine="361" w:firstLineChars="200"/>
        <w:jc w:val="both"/>
        <w:rPr>
          <w:rFonts w:hint="eastAsia" w:ascii="宋体" w:hAnsi="宋体"/>
          <w:b/>
          <w:color w:val="000000"/>
          <w:sz w:val="18"/>
          <w:szCs w:val="21"/>
        </w:rPr>
      </w:pPr>
      <w:r>
        <w:rPr>
          <w:rFonts w:hint="eastAsia" w:ascii="宋体" w:hAnsi="宋体"/>
          <w:b/>
          <w:color w:val="000000"/>
          <w:sz w:val="18"/>
          <w:szCs w:val="21"/>
        </w:rPr>
        <w:t>第八条　保险金额和保险费</w:t>
      </w:r>
    </w:p>
    <w:p>
      <w:pPr>
        <w:keepNext w:val="0"/>
        <w:keepLines w:val="0"/>
        <w:pageBreakBefore w:val="0"/>
        <w:widowControl w:val="0"/>
        <w:kinsoku/>
        <w:wordWrap/>
        <w:overflowPunct/>
        <w:topLinePunct w:val="0"/>
        <w:autoSpaceDE/>
        <w:autoSpaceDN/>
        <w:bidi w:val="0"/>
        <w:spacing w:before="110" w:beforeLines="35" w:line="240" w:lineRule="auto"/>
        <w:ind w:left="0" w:leftChars="0" w:right="0" w:rightChars="0" w:firstLine="360" w:firstLineChars="200"/>
        <w:jc w:val="both"/>
        <w:rPr>
          <w:rFonts w:hint="eastAsia" w:ascii="宋体" w:hAnsi="宋体"/>
          <w:bCs/>
          <w:color w:val="000000"/>
          <w:sz w:val="18"/>
          <w:szCs w:val="21"/>
        </w:rPr>
      </w:pPr>
      <w:r>
        <w:rPr>
          <w:rFonts w:hint="eastAsia" w:ascii="宋体" w:hAnsi="宋体"/>
          <w:bCs/>
          <w:color w:val="000000"/>
          <w:sz w:val="18"/>
          <w:szCs w:val="21"/>
        </w:rPr>
        <w:t>本附加险按份投保，每一被保险人的投保份数由投保人和保险人约定并于保险单上载明。每份本附加险住院津贴给付标准为每日10元。</w:t>
      </w:r>
    </w:p>
    <w:p>
      <w:pPr>
        <w:keepNext w:val="0"/>
        <w:keepLines w:val="0"/>
        <w:pageBreakBefore w:val="0"/>
        <w:widowControl w:val="0"/>
        <w:kinsoku/>
        <w:wordWrap/>
        <w:overflowPunct/>
        <w:topLinePunct w:val="0"/>
        <w:autoSpaceDE/>
        <w:autoSpaceDN/>
        <w:bidi w:val="0"/>
        <w:spacing w:before="110" w:beforeLines="35" w:line="240" w:lineRule="auto"/>
        <w:ind w:left="0" w:leftChars="0" w:right="0" w:rightChars="0" w:firstLine="360" w:firstLineChars="200"/>
        <w:jc w:val="both"/>
        <w:rPr>
          <w:rFonts w:hint="eastAsia" w:ascii="宋体" w:hAnsi="宋体"/>
          <w:bCs/>
          <w:color w:val="000000"/>
          <w:sz w:val="18"/>
          <w:szCs w:val="21"/>
        </w:rPr>
      </w:pPr>
      <w:r>
        <w:rPr>
          <w:rFonts w:hint="eastAsia" w:ascii="宋体" w:hAnsi="宋体"/>
          <w:bCs/>
          <w:color w:val="000000"/>
          <w:sz w:val="18"/>
          <w:szCs w:val="21"/>
        </w:rPr>
        <w:t>每份保险的保险费根据保险费率确定。保险费必须在投保时一次交清。</w:t>
      </w:r>
    </w:p>
    <w:p>
      <w:pPr>
        <w:keepNext w:val="0"/>
        <w:keepLines w:val="0"/>
        <w:pageBreakBefore w:val="0"/>
        <w:widowControl w:val="0"/>
        <w:kinsoku/>
        <w:wordWrap/>
        <w:overflowPunct/>
        <w:topLinePunct w:val="0"/>
        <w:autoSpaceDE/>
        <w:autoSpaceDN/>
        <w:bidi w:val="0"/>
        <w:spacing w:before="110" w:beforeLines="35" w:line="240" w:lineRule="auto"/>
        <w:ind w:left="0" w:leftChars="0" w:right="0" w:rightChars="0" w:firstLine="361" w:firstLineChars="200"/>
        <w:jc w:val="both"/>
        <w:rPr>
          <w:rFonts w:hint="eastAsia" w:ascii="宋体" w:hAnsi="宋体"/>
          <w:b/>
          <w:color w:val="000000"/>
          <w:sz w:val="18"/>
          <w:szCs w:val="21"/>
        </w:rPr>
      </w:pPr>
      <w:r>
        <w:rPr>
          <w:rFonts w:hint="eastAsia" w:ascii="宋体" w:hAnsi="宋体"/>
          <w:b/>
          <w:color w:val="000000"/>
          <w:sz w:val="18"/>
          <w:szCs w:val="21"/>
        </w:rPr>
        <w:t>第九条 保险金的申请</w:t>
      </w:r>
    </w:p>
    <w:p>
      <w:pPr>
        <w:keepNext w:val="0"/>
        <w:keepLines w:val="0"/>
        <w:pageBreakBefore w:val="0"/>
        <w:widowControl w:val="0"/>
        <w:kinsoku/>
        <w:wordWrap/>
        <w:overflowPunct/>
        <w:topLinePunct w:val="0"/>
        <w:autoSpaceDE/>
        <w:autoSpaceDN/>
        <w:bidi w:val="0"/>
        <w:spacing w:before="110" w:beforeLines="35" w:line="240" w:lineRule="auto"/>
        <w:ind w:left="0" w:leftChars="0" w:right="0" w:rightChars="0" w:firstLine="360" w:firstLineChars="200"/>
        <w:jc w:val="both"/>
        <w:rPr>
          <w:rFonts w:hint="eastAsia" w:ascii="宋体" w:hAnsi="宋体"/>
          <w:bCs/>
          <w:color w:val="000000"/>
          <w:sz w:val="18"/>
          <w:szCs w:val="21"/>
        </w:rPr>
      </w:pPr>
      <w:r>
        <w:rPr>
          <w:rFonts w:hint="eastAsia" w:ascii="宋体" w:hAnsi="宋体"/>
          <w:bCs/>
          <w:color w:val="000000"/>
          <w:sz w:val="18"/>
          <w:szCs w:val="21"/>
        </w:rPr>
        <w:t>申请给付住院津贴时，由受益人作为申请人，填写保险金给付申请书，并凭下列证明和资料向保险人申请给付保险金：</w:t>
      </w:r>
    </w:p>
    <w:p>
      <w:pPr>
        <w:keepNext w:val="0"/>
        <w:keepLines w:val="0"/>
        <w:pageBreakBefore w:val="0"/>
        <w:widowControl w:val="0"/>
        <w:kinsoku/>
        <w:wordWrap/>
        <w:overflowPunct/>
        <w:topLinePunct w:val="0"/>
        <w:autoSpaceDE/>
        <w:autoSpaceDN/>
        <w:bidi w:val="0"/>
        <w:adjustRightInd/>
        <w:snapToGrid/>
        <w:spacing w:before="110" w:beforeLines="35" w:line="240" w:lineRule="auto"/>
        <w:ind w:left="0" w:leftChars="0" w:right="0" w:rightChars="0" w:firstLine="360" w:firstLineChars="200"/>
        <w:jc w:val="both"/>
        <w:textAlignment w:val="auto"/>
        <w:outlineLvl w:val="9"/>
        <w:rPr>
          <w:rFonts w:hint="eastAsia" w:ascii="宋体" w:hAnsi="宋体"/>
          <w:bCs/>
          <w:color w:val="000000"/>
          <w:sz w:val="18"/>
          <w:szCs w:val="21"/>
        </w:rPr>
      </w:pPr>
      <w:r>
        <w:rPr>
          <w:rFonts w:hint="eastAsia" w:ascii="宋体" w:hAnsi="宋体"/>
          <w:bCs/>
          <w:color w:val="000000"/>
          <w:sz w:val="18"/>
          <w:szCs w:val="21"/>
        </w:rPr>
        <w:t>1、主险、附加险的保险单或其他保险凭证原件；</w:t>
      </w:r>
    </w:p>
    <w:p>
      <w:pPr>
        <w:keepNext w:val="0"/>
        <w:keepLines w:val="0"/>
        <w:pageBreakBefore w:val="0"/>
        <w:widowControl w:val="0"/>
        <w:kinsoku/>
        <w:wordWrap/>
        <w:overflowPunct/>
        <w:topLinePunct w:val="0"/>
        <w:autoSpaceDE/>
        <w:autoSpaceDN/>
        <w:bidi w:val="0"/>
        <w:adjustRightInd/>
        <w:snapToGrid/>
        <w:spacing w:before="110" w:beforeLines="35" w:line="240" w:lineRule="auto"/>
        <w:ind w:left="0" w:leftChars="0" w:right="0" w:rightChars="0" w:firstLine="360" w:firstLineChars="200"/>
        <w:jc w:val="both"/>
        <w:textAlignment w:val="auto"/>
        <w:outlineLvl w:val="9"/>
        <w:rPr>
          <w:rFonts w:hint="eastAsia" w:ascii="宋体" w:hAnsi="宋体"/>
          <w:bCs/>
          <w:color w:val="000000"/>
          <w:sz w:val="18"/>
          <w:szCs w:val="21"/>
        </w:rPr>
      </w:pPr>
      <w:r>
        <w:rPr>
          <w:rFonts w:hint="eastAsia" w:ascii="宋体" w:hAnsi="宋体"/>
          <w:bCs/>
          <w:color w:val="000000"/>
          <w:sz w:val="18"/>
          <w:szCs w:val="21"/>
        </w:rPr>
        <w:t>2、被保险人身份证明；</w:t>
      </w:r>
    </w:p>
    <w:p>
      <w:pPr>
        <w:keepNext w:val="0"/>
        <w:keepLines w:val="0"/>
        <w:pageBreakBefore w:val="0"/>
        <w:widowControl w:val="0"/>
        <w:kinsoku/>
        <w:wordWrap/>
        <w:overflowPunct/>
        <w:topLinePunct w:val="0"/>
        <w:autoSpaceDE/>
        <w:autoSpaceDN/>
        <w:bidi w:val="0"/>
        <w:adjustRightInd/>
        <w:snapToGrid/>
        <w:spacing w:before="110" w:beforeLines="35" w:line="240" w:lineRule="auto"/>
        <w:ind w:left="0" w:leftChars="0" w:right="0" w:rightChars="0" w:firstLine="360" w:firstLineChars="200"/>
        <w:jc w:val="both"/>
        <w:textAlignment w:val="auto"/>
        <w:outlineLvl w:val="9"/>
        <w:rPr>
          <w:rFonts w:hint="eastAsia" w:ascii="宋体" w:hAnsi="宋体"/>
          <w:bCs/>
          <w:color w:val="000000"/>
          <w:sz w:val="18"/>
          <w:szCs w:val="21"/>
        </w:rPr>
      </w:pPr>
      <w:r>
        <w:rPr>
          <w:rFonts w:hint="eastAsia" w:ascii="宋体" w:hAnsi="宋体"/>
          <w:bCs/>
          <w:color w:val="000000"/>
          <w:sz w:val="18"/>
          <w:szCs w:val="21"/>
        </w:rPr>
        <w:t>3、</w:t>
      </w:r>
      <w:r>
        <w:rPr>
          <w:rFonts w:hint="eastAsia" w:ascii="宋体" w:hAnsi="宋体"/>
          <w:color w:val="000000"/>
          <w:sz w:val="18"/>
          <w:szCs w:val="21"/>
        </w:rPr>
        <w:t>用人单位出具的被保险人人事证明或聘用合同</w:t>
      </w:r>
      <w:r>
        <w:rPr>
          <w:rStyle w:val="16"/>
          <w:rFonts w:hint="eastAsia" w:ascii="宋体" w:hAnsi="宋体"/>
          <w:color w:val="000000"/>
          <w:sz w:val="18"/>
          <w:szCs w:val="21"/>
        </w:rPr>
        <w:t>；</w:t>
      </w:r>
    </w:p>
    <w:p>
      <w:pPr>
        <w:keepNext w:val="0"/>
        <w:keepLines w:val="0"/>
        <w:pageBreakBefore w:val="0"/>
        <w:widowControl w:val="0"/>
        <w:kinsoku/>
        <w:wordWrap/>
        <w:overflowPunct/>
        <w:topLinePunct w:val="0"/>
        <w:autoSpaceDE/>
        <w:autoSpaceDN/>
        <w:bidi w:val="0"/>
        <w:adjustRightInd/>
        <w:snapToGrid/>
        <w:spacing w:before="110" w:beforeLines="35" w:line="240" w:lineRule="auto"/>
        <w:ind w:left="0" w:leftChars="0" w:right="0" w:rightChars="0" w:firstLine="360" w:firstLineChars="200"/>
        <w:jc w:val="both"/>
        <w:textAlignment w:val="auto"/>
        <w:outlineLvl w:val="9"/>
        <w:rPr>
          <w:rFonts w:hint="eastAsia" w:ascii="宋体" w:hAnsi="宋体"/>
          <w:bCs/>
          <w:color w:val="000000"/>
          <w:sz w:val="18"/>
          <w:szCs w:val="21"/>
        </w:rPr>
      </w:pPr>
      <w:r>
        <w:rPr>
          <w:rFonts w:hint="eastAsia" w:ascii="宋体" w:hAnsi="宋体"/>
          <w:bCs/>
          <w:color w:val="000000"/>
          <w:sz w:val="18"/>
          <w:szCs w:val="21"/>
        </w:rPr>
        <w:t>4、</w:t>
      </w:r>
      <w:r>
        <w:rPr>
          <w:rFonts w:hint="eastAsia" w:ascii="宋体" w:hAnsi="宋体"/>
          <w:color w:val="000000"/>
          <w:kern w:val="0"/>
          <w:sz w:val="18"/>
          <w:szCs w:val="21"/>
        </w:rPr>
        <w:t>社会医疗保险主管机构指定医院</w:t>
      </w:r>
      <w:r>
        <w:rPr>
          <w:rFonts w:hint="eastAsia" w:ascii="宋体" w:hAnsi="宋体"/>
          <w:bCs/>
          <w:color w:val="000000"/>
          <w:sz w:val="18"/>
          <w:szCs w:val="21"/>
        </w:rPr>
        <w:t>出具的住院医疗诊断证明、出院小结、病历；</w:t>
      </w:r>
    </w:p>
    <w:p>
      <w:pPr>
        <w:keepNext w:val="0"/>
        <w:keepLines w:val="0"/>
        <w:pageBreakBefore w:val="0"/>
        <w:widowControl w:val="0"/>
        <w:kinsoku/>
        <w:wordWrap/>
        <w:overflowPunct/>
        <w:topLinePunct w:val="0"/>
        <w:autoSpaceDE/>
        <w:autoSpaceDN/>
        <w:bidi w:val="0"/>
        <w:adjustRightInd/>
        <w:snapToGrid/>
        <w:spacing w:before="110" w:beforeLines="35" w:line="240" w:lineRule="auto"/>
        <w:ind w:left="0" w:leftChars="0" w:right="0" w:rightChars="0" w:firstLine="360" w:firstLineChars="200"/>
        <w:jc w:val="both"/>
        <w:textAlignment w:val="auto"/>
        <w:outlineLvl w:val="9"/>
        <w:rPr>
          <w:rFonts w:hint="eastAsia" w:ascii="宋体" w:hAnsi="宋体"/>
          <w:bCs/>
          <w:color w:val="000000"/>
          <w:sz w:val="18"/>
          <w:szCs w:val="21"/>
        </w:rPr>
      </w:pPr>
      <w:r>
        <w:rPr>
          <w:rFonts w:hint="eastAsia" w:ascii="宋体" w:hAnsi="宋体"/>
          <w:bCs/>
          <w:color w:val="000000"/>
          <w:sz w:val="18"/>
          <w:szCs w:val="21"/>
        </w:rPr>
        <w:t>5、申请人所能提供的与确认保险事故的性质、原因等有关的证明和资料。</w:t>
      </w:r>
    </w:p>
    <w:p>
      <w:pPr>
        <w:keepNext w:val="0"/>
        <w:keepLines w:val="0"/>
        <w:pageBreakBefore w:val="0"/>
        <w:widowControl w:val="0"/>
        <w:kinsoku/>
        <w:wordWrap/>
        <w:overflowPunct/>
        <w:topLinePunct w:val="0"/>
        <w:autoSpaceDE/>
        <w:autoSpaceDN/>
        <w:bidi w:val="0"/>
        <w:adjustRightInd/>
        <w:snapToGrid/>
        <w:spacing w:before="110" w:beforeLines="35" w:line="240" w:lineRule="auto"/>
        <w:ind w:left="0" w:leftChars="0" w:right="0" w:rightChars="0" w:firstLine="360" w:firstLineChars="200"/>
        <w:jc w:val="both"/>
        <w:textAlignment w:val="auto"/>
        <w:outlineLvl w:val="9"/>
        <w:rPr>
          <w:rFonts w:hint="eastAsia" w:ascii="宋体" w:hAnsi="宋体"/>
          <w:bCs/>
          <w:color w:val="000000"/>
          <w:sz w:val="18"/>
          <w:szCs w:val="21"/>
        </w:rPr>
      </w:pPr>
      <w:r>
        <w:rPr>
          <w:rFonts w:hint="eastAsia" w:ascii="宋体" w:hAnsi="宋体"/>
          <w:bCs/>
          <w:color w:val="000000"/>
          <w:sz w:val="18"/>
          <w:szCs w:val="21"/>
        </w:rPr>
        <w:t>6. 若保险金申请人委托他人申请的，还应提供授权委托书原件、委托人和受托人的身份证明等相关证明文件。</w:t>
      </w:r>
    </w:p>
    <w:p>
      <w:pPr>
        <w:keepNext w:val="0"/>
        <w:keepLines w:val="0"/>
        <w:pageBreakBefore w:val="0"/>
        <w:widowControl w:val="0"/>
        <w:kinsoku/>
        <w:wordWrap/>
        <w:overflowPunct/>
        <w:topLinePunct w:val="0"/>
        <w:autoSpaceDE/>
        <w:autoSpaceDN/>
        <w:bidi w:val="0"/>
        <w:adjustRightInd w:val="0"/>
        <w:snapToGrid w:val="0"/>
        <w:spacing w:before="110" w:beforeLines="35" w:line="240" w:lineRule="auto"/>
        <w:ind w:left="0" w:leftChars="0" w:right="0" w:rightChars="0" w:firstLine="361" w:firstLineChars="200"/>
        <w:jc w:val="both"/>
        <w:rPr>
          <w:rFonts w:hint="eastAsia" w:ascii="宋体" w:hAnsi="宋体"/>
          <w:b/>
          <w:bCs/>
          <w:color w:val="000000"/>
          <w:sz w:val="18"/>
          <w:szCs w:val="21"/>
        </w:rPr>
      </w:pPr>
      <w:r>
        <w:rPr>
          <w:rFonts w:hint="eastAsia"/>
          <w:b/>
          <w:sz w:val="18"/>
        </w:rPr>
        <w:t>第十条 本合同与主险合同的关系</w:t>
      </w:r>
    </w:p>
    <w:p>
      <w:pPr>
        <w:keepNext w:val="0"/>
        <w:keepLines w:val="0"/>
        <w:pageBreakBefore w:val="0"/>
        <w:widowControl w:val="0"/>
        <w:kinsoku/>
        <w:wordWrap/>
        <w:overflowPunct/>
        <w:topLinePunct w:val="0"/>
        <w:autoSpaceDE/>
        <w:autoSpaceDN/>
        <w:bidi w:val="0"/>
        <w:adjustRightInd w:val="0"/>
        <w:snapToGrid w:val="0"/>
        <w:spacing w:before="110" w:beforeLines="35" w:line="240" w:lineRule="auto"/>
        <w:ind w:left="0" w:leftChars="0" w:right="0" w:rightChars="0" w:firstLine="360" w:firstLineChars="200"/>
        <w:jc w:val="both"/>
        <w:textAlignment w:val="auto"/>
        <w:outlineLvl w:val="9"/>
        <w:rPr>
          <w:rFonts w:hint="eastAsia"/>
          <w:sz w:val="18"/>
        </w:rPr>
      </w:pPr>
      <w:r>
        <w:rPr>
          <w:rFonts w:hint="eastAsia" w:ascii="宋体" w:hAnsi="宋体"/>
          <w:color w:val="000000"/>
          <w:sz w:val="18"/>
          <w:szCs w:val="21"/>
        </w:rPr>
        <w:t>（一）主险合同终止时，本合同同时终止，保险人向投保人退还未满期净保费。</w:t>
      </w:r>
    </w:p>
    <w:p>
      <w:pPr>
        <w:keepNext w:val="0"/>
        <w:keepLines w:val="0"/>
        <w:pageBreakBefore w:val="0"/>
        <w:widowControl w:val="0"/>
        <w:kinsoku/>
        <w:wordWrap/>
        <w:overflowPunct/>
        <w:topLinePunct w:val="0"/>
        <w:autoSpaceDE/>
        <w:autoSpaceDN/>
        <w:bidi w:val="0"/>
        <w:adjustRightInd w:val="0"/>
        <w:snapToGrid w:val="0"/>
        <w:spacing w:before="110" w:beforeLines="35" w:line="240" w:lineRule="auto"/>
        <w:ind w:left="0" w:leftChars="0" w:right="0" w:rightChars="0" w:firstLine="360" w:firstLineChars="200"/>
        <w:jc w:val="both"/>
        <w:textAlignment w:val="auto"/>
        <w:outlineLvl w:val="9"/>
        <w:rPr>
          <w:rFonts w:hint="eastAsia" w:ascii="宋体" w:hAnsi="宋体"/>
          <w:color w:val="000000"/>
          <w:sz w:val="18"/>
          <w:szCs w:val="21"/>
        </w:rPr>
      </w:pPr>
      <w:r>
        <w:rPr>
          <w:rFonts w:hint="eastAsia" w:ascii="宋体" w:hAnsi="宋体"/>
          <w:color w:val="000000"/>
          <w:sz w:val="18"/>
          <w:szCs w:val="21"/>
        </w:rPr>
        <w:t>（二）若投保人解除主险合同，本合同一并解除，合同解除后，保险人参照主险合同有关规定退还本合同的未满期保险费。</w:t>
      </w:r>
    </w:p>
    <w:p>
      <w:pPr>
        <w:keepNext w:val="0"/>
        <w:keepLines w:val="0"/>
        <w:pageBreakBefore w:val="0"/>
        <w:widowControl w:val="0"/>
        <w:kinsoku/>
        <w:wordWrap/>
        <w:overflowPunct/>
        <w:topLinePunct w:val="0"/>
        <w:autoSpaceDE/>
        <w:autoSpaceDN/>
        <w:bidi w:val="0"/>
        <w:spacing w:before="110" w:beforeLines="35" w:line="240" w:lineRule="auto"/>
        <w:ind w:left="0" w:leftChars="0" w:right="0" w:rightChars="0" w:firstLine="360" w:firstLineChars="200"/>
        <w:jc w:val="both"/>
        <w:textAlignment w:val="auto"/>
        <w:outlineLvl w:val="9"/>
        <w:rPr>
          <w:rFonts w:hint="eastAsia" w:ascii="宋体" w:hAnsi="宋体"/>
          <w:bCs/>
          <w:color w:val="000000"/>
          <w:sz w:val="18"/>
          <w:szCs w:val="21"/>
        </w:rPr>
      </w:pPr>
      <w:r>
        <w:rPr>
          <w:rFonts w:hint="eastAsia" w:ascii="宋体" w:hAnsi="宋体"/>
          <w:color w:val="000000"/>
          <w:sz w:val="18"/>
          <w:szCs w:val="21"/>
        </w:rPr>
        <w:t>（三）若本合同条款与主险合同条款互有冲突，则以本合同条款为准；本合同未尽事宜，按主险合同相应条款执行。</w:t>
      </w:r>
    </w:p>
    <w:p>
      <w:pPr>
        <w:keepNext w:val="0"/>
        <w:keepLines w:val="0"/>
        <w:pageBreakBefore w:val="0"/>
        <w:widowControl w:val="0"/>
        <w:kinsoku/>
        <w:wordWrap/>
        <w:overflowPunct/>
        <w:topLinePunct w:val="0"/>
        <w:autoSpaceDE/>
        <w:autoSpaceDN/>
        <w:bidi w:val="0"/>
        <w:spacing w:before="110" w:beforeLines="35" w:line="240" w:lineRule="auto"/>
        <w:ind w:left="0" w:leftChars="0" w:right="0" w:rightChars="0" w:firstLine="361" w:firstLineChars="200"/>
        <w:jc w:val="both"/>
        <w:rPr>
          <w:rFonts w:hint="eastAsia" w:ascii="宋体" w:hAnsi="宋体"/>
          <w:b/>
          <w:color w:val="000000"/>
          <w:sz w:val="18"/>
          <w:szCs w:val="21"/>
        </w:rPr>
      </w:pPr>
      <w:r>
        <w:rPr>
          <w:rFonts w:hint="eastAsia" w:ascii="宋体" w:hAnsi="宋体"/>
          <w:b/>
          <w:color w:val="000000"/>
          <w:sz w:val="18"/>
          <w:szCs w:val="21"/>
        </w:rPr>
        <w:t>释义</w:t>
      </w:r>
    </w:p>
    <w:p>
      <w:pPr>
        <w:keepNext w:val="0"/>
        <w:keepLines w:val="0"/>
        <w:pageBreakBefore w:val="0"/>
        <w:widowControl w:val="0"/>
        <w:kinsoku/>
        <w:wordWrap/>
        <w:overflowPunct/>
        <w:topLinePunct w:val="0"/>
        <w:autoSpaceDE/>
        <w:autoSpaceDN/>
        <w:bidi w:val="0"/>
        <w:spacing w:before="110" w:beforeLines="35" w:line="240" w:lineRule="auto"/>
        <w:ind w:left="0" w:leftChars="0" w:right="0" w:rightChars="0" w:firstLine="361" w:firstLineChars="200"/>
        <w:jc w:val="both"/>
        <w:rPr>
          <w:rFonts w:hint="eastAsia" w:ascii="宋体" w:hAnsi="宋体"/>
          <w:color w:val="000000"/>
          <w:sz w:val="18"/>
          <w:szCs w:val="21"/>
        </w:rPr>
      </w:pPr>
      <w:r>
        <w:rPr>
          <w:rFonts w:hint="eastAsia" w:ascii="宋体" w:hAnsi="宋体"/>
          <w:b/>
          <w:bCs/>
          <w:color w:val="000000"/>
          <w:sz w:val="18"/>
          <w:szCs w:val="21"/>
        </w:rPr>
        <w:t>住院:</w:t>
      </w:r>
      <w:r>
        <w:rPr>
          <w:rFonts w:hint="eastAsia" w:ascii="宋体" w:hAnsi="宋体"/>
          <w:bCs/>
          <w:color w:val="000000"/>
          <w:sz w:val="18"/>
          <w:szCs w:val="21"/>
        </w:rPr>
        <w:t xml:space="preserve"> 指被保险人因意外伤害或疾病，经医生诊断必须住院治疗，并正式办理入院手续在保险人指定或认可的医院的正式病房进行治疗的，不包括入住门诊观察室、家庭病床、专科门诊、其他非正式病房和不合理的住院。若被保险人非治疗需要离开保险人指定或认可的医院十二小时以上，视为自动离开医院，保险人仅对该日以前住院治疗负保险责任。</w:t>
      </w:r>
    </w:p>
    <w:p>
      <w:pPr>
        <w:keepNext w:val="0"/>
        <w:keepLines w:val="0"/>
        <w:pageBreakBefore w:val="0"/>
        <w:widowControl w:val="0"/>
        <w:kinsoku/>
        <w:wordWrap/>
        <w:overflowPunct/>
        <w:topLinePunct w:val="0"/>
        <w:autoSpaceDE/>
        <w:autoSpaceDN/>
        <w:bidi w:val="0"/>
        <w:spacing w:before="110" w:beforeLines="35" w:line="240" w:lineRule="auto"/>
        <w:ind w:left="0" w:leftChars="0" w:right="0" w:rightChars="0" w:firstLine="361" w:firstLineChars="200"/>
        <w:jc w:val="both"/>
        <w:rPr>
          <w:rFonts w:hint="eastAsia" w:ascii="宋体" w:hAnsi="宋体"/>
          <w:bCs/>
          <w:color w:val="000000"/>
          <w:sz w:val="18"/>
          <w:szCs w:val="21"/>
        </w:rPr>
      </w:pPr>
      <w:r>
        <w:rPr>
          <w:rFonts w:hint="eastAsia" w:ascii="宋体" w:hAnsi="宋体"/>
          <w:b/>
          <w:bCs/>
          <w:color w:val="000000"/>
          <w:sz w:val="18"/>
          <w:szCs w:val="21"/>
        </w:rPr>
        <w:t>同一次住院：</w:t>
      </w:r>
      <w:r>
        <w:rPr>
          <w:rFonts w:hint="eastAsia" w:ascii="宋体" w:hAnsi="宋体"/>
          <w:bCs/>
          <w:color w:val="000000"/>
          <w:sz w:val="18"/>
          <w:szCs w:val="21"/>
        </w:rPr>
        <w:t>与前次住院原因相同，且前次出院与下次入院间隔未超过30天的再次住院视为同一次住院。</w:t>
      </w:r>
    </w:p>
    <w:p>
      <w:pPr/>
    </w:p>
    <w:p>
      <w:pPr/>
    </w:p>
    <w:p>
      <w:pPr/>
    </w:p>
    <w:p>
      <w:pPr/>
    </w:p>
    <w:p>
      <w:pPr/>
    </w:p>
    <w:sectPr>
      <w:headerReference r:id="rId3" w:type="default"/>
      <w:footerReference r:id="rId4" w:type="default"/>
      <w:pgSz w:w="11906" w:h="16838"/>
      <w:pgMar w:top="851" w:right="851" w:bottom="85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modern"/>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decorative"/>
    <w:pitch w:val="default"/>
    <w:sig w:usb0="A10006FF" w:usb1="4000205B" w:usb2="00000010" w:usb3="00000000" w:csb0="2000019F" w:csb1="00000000"/>
  </w:font>
  <w:font w:name="Arial">
    <w:panose1 w:val="020B0604020202020204"/>
    <w:charset w:val="00"/>
    <w:family w:val="decorative"/>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Arial">
    <w:panose1 w:val="020B0604020202020204"/>
    <w:charset w:val="00"/>
    <w:family w:val="roman"/>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cript"/>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幼圆">
    <w:panose1 w:val="02010509060101010101"/>
    <w:charset w:val="86"/>
    <w:family w:val="swiss"/>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decorative"/>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Verdana">
    <w:panose1 w:val="020B0604030504040204"/>
    <w:charset w:val="00"/>
    <w:family w:val="modern"/>
    <w:pitch w:val="default"/>
    <w:sig w:usb0="A10006FF" w:usb1="4000205B" w:usb2="00000010" w:usb3="00000000" w:csb0="2000019F" w:csb1="00000000"/>
  </w:font>
  <w:font w:name="幼圆">
    <w:panose1 w:val="02010509060101010101"/>
    <w:charset w:val="86"/>
    <w:family w:val="roman"/>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Arial">
    <w:panose1 w:val="020B0604020202020204"/>
    <w:charset w:val="00"/>
    <w:family w:val="modern"/>
    <w:pitch w:val="default"/>
    <w:sig w:usb0="E0002AFF" w:usb1="C0007843" w:usb2="00000009" w:usb3="00000000" w:csb0="400001FF" w:csb1="FFFF0000"/>
  </w:font>
  <w:font w:name="Times">
    <w:altName w:val="Times New Roman"/>
    <w:panose1 w:val="02020603050405020304"/>
    <w:charset w:val="00"/>
    <w:family w:val="modern"/>
    <w:pitch w:val="default"/>
    <w:sig w:usb0="00000000" w:usb1="00000000" w:usb2="00000008" w:usb3="00000000" w:csb0="000001FF" w:csb1="00000000"/>
  </w:font>
  <w:font w:name="Cambria">
    <w:panose1 w:val="02040503050406030204"/>
    <w:charset w:val="01"/>
    <w:family w:val="auto"/>
    <w:pitch w:val="default"/>
    <w:sig w:usb0="E00002FF" w:usb1="400004FF" w:usb2="00000000" w:usb3="00000000" w:csb0="2000019F" w:csb1="00000000"/>
  </w:font>
  <w:font w:name="華康中楷體">
    <w:altName w:val="Microsoft JhengHei"/>
    <w:panose1 w:val="00000000000000000000"/>
    <w:charset w:val="01"/>
    <w:family w:val="auto"/>
    <w:pitch w:val="default"/>
    <w:sig w:usb0="00000000" w:usb1="00000000" w:usb2="00000000" w:usb3="00000000" w:csb0="00040001" w:csb1="00000000"/>
  </w:font>
  <w:font w:name="Microsoft JhengHei">
    <w:panose1 w:val="020B0604030504040204"/>
    <w:charset w:val="88"/>
    <w:family w:val="auto"/>
    <w:pitch w:val="default"/>
    <w:sig w:usb0="00000087" w:usb1="28AF4000" w:usb2="00000016" w:usb3="00000000" w:csb0="00100009" w:csb1="00000000"/>
  </w:font>
  <w:font w:name="Times">
    <w:altName w:val="Times New Roman"/>
    <w:panose1 w:val="02020603050405020304"/>
    <w:charset w:val="00"/>
    <w:family w:val="swiss"/>
    <w:pitch w:val="default"/>
    <w:sig w:usb0="00000000" w:usb1="00000000" w:usb2="00000008" w:usb3="00000000" w:csb0="000001FF" w:csb1="00000000"/>
  </w:font>
  <w:font w:name="Times">
    <w:altName w:val="Times New Roman"/>
    <w:panose1 w:val="02020603050405020304"/>
    <w:charset w:val="00"/>
    <w:family w:val="decorative"/>
    <w:pitch w:val="default"/>
    <w:sig w:usb0="00000000" w:usb1="00000000" w:usb2="00000008" w:usb3="00000000" w:csb0="000001FF" w:csb1="00000000"/>
  </w:font>
  <w:font w:name="Times">
    <w:altName w:val="Times New Roman"/>
    <w:panose1 w:val="02020603050405020304"/>
    <w:charset w:val="00"/>
    <w:family w:val="roman"/>
    <w:pitch w:val="default"/>
    <w:sig w:usb0="00000000" w:usb1="00000000" w:usb2="00000008" w:usb3="00000000" w:csb0="000001FF" w:csb1="00000000"/>
  </w:font>
  <w:font w:name="Dotu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jc w:val="both"/>
    </w:pPr>
    <w:r>
      <w:rPr>
        <w:lang w:val="zh-CN" w:eastAsia="zh-CN"/>
      </w:rPr>
      <w:drawing>
        <wp:inline distT="0" distB="0" distL="114300" distR="114300">
          <wp:extent cx="3056255" cy="361950"/>
          <wp:effectExtent l="0" t="0" r="10795" b="0"/>
          <wp:docPr id="3" name="图片 3" descr="说明: 说明: 深圳分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说明: 深圳分公司"/>
                  <pic:cNvPicPr>
                    <a:picLocks noChangeAspect="1"/>
                  </pic:cNvPicPr>
                </pic:nvPicPr>
                <pic:blipFill>
                  <a:blip r:embed="rId1"/>
                  <a:srcRect t="15590" r="27089" b="14528"/>
                  <a:stretch>
                    <a:fillRect/>
                  </a:stretch>
                </pic:blipFill>
                <pic:spPr>
                  <a:xfrm>
                    <a:off x="0" y="0"/>
                    <a:ext cx="3056255" cy="361950"/>
                  </a:xfrm>
                  <a:prstGeom prst="rect">
                    <a:avLst/>
                  </a:prstGeom>
                  <a:noFill/>
                  <a:ln w="9525">
                    <a:noFill/>
                    <a:miter/>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multilevel"/>
    <w:tmpl w:val="0000000A"/>
    <w:lvl w:ilvl="0" w:tentative="1">
      <w:start w:val="1"/>
      <w:numFmt w:val="japaneseCounting"/>
      <w:lvlText w:val="%1、"/>
      <w:lvlJc w:val="left"/>
      <w:pPr>
        <w:ind w:left="390" w:hanging="39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E5144"/>
    <w:rsid w:val="00852BEA"/>
    <w:rsid w:val="00E35182"/>
    <w:rsid w:val="03886477"/>
    <w:rsid w:val="04B50046"/>
    <w:rsid w:val="089D2EAF"/>
    <w:rsid w:val="08EA2FAE"/>
    <w:rsid w:val="0984551C"/>
    <w:rsid w:val="09BF208D"/>
    <w:rsid w:val="0A485AC2"/>
    <w:rsid w:val="0C485EB3"/>
    <w:rsid w:val="0C90792D"/>
    <w:rsid w:val="0CC964D3"/>
    <w:rsid w:val="10242D0C"/>
    <w:rsid w:val="128B0EFC"/>
    <w:rsid w:val="13AE7D5A"/>
    <w:rsid w:val="1428639F"/>
    <w:rsid w:val="147B3C2A"/>
    <w:rsid w:val="15297246"/>
    <w:rsid w:val="15B21729"/>
    <w:rsid w:val="167A58EE"/>
    <w:rsid w:val="173E0EAF"/>
    <w:rsid w:val="175D5EE1"/>
    <w:rsid w:val="17AD27E8"/>
    <w:rsid w:val="180B4D80"/>
    <w:rsid w:val="1906698E"/>
    <w:rsid w:val="192E5144"/>
    <w:rsid w:val="1BA82FED"/>
    <w:rsid w:val="1BBE0A14"/>
    <w:rsid w:val="1C8B48E5"/>
    <w:rsid w:val="1C8E0291"/>
    <w:rsid w:val="1D39247F"/>
    <w:rsid w:val="1E077654"/>
    <w:rsid w:val="1F784F2C"/>
    <w:rsid w:val="207167C9"/>
    <w:rsid w:val="20986689"/>
    <w:rsid w:val="21BF60EB"/>
    <w:rsid w:val="24182DC7"/>
    <w:rsid w:val="25CE3392"/>
    <w:rsid w:val="26085AF6"/>
    <w:rsid w:val="26207919"/>
    <w:rsid w:val="26ED37EA"/>
    <w:rsid w:val="28176AA2"/>
    <w:rsid w:val="2A134397"/>
    <w:rsid w:val="2A8C4F5A"/>
    <w:rsid w:val="2AAB2DC7"/>
    <w:rsid w:val="2AFA0E11"/>
    <w:rsid w:val="2BAD4138"/>
    <w:rsid w:val="2BC05357"/>
    <w:rsid w:val="2C5348C6"/>
    <w:rsid w:val="2C8D1227"/>
    <w:rsid w:val="2CE84DB9"/>
    <w:rsid w:val="2DB50C8A"/>
    <w:rsid w:val="2DBB2B93"/>
    <w:rsid w:val="2E020D89"/>
    <w:rsid w:val="2EB7594D"/>
    <w:rsid w:val="2ECF4C5A"/>
    <w:rsid w:val="2EE4137C"/>
    <w:rsid w:val="2F386C07"/>
    <w:rsid w:val="30937DBD"/>
    <w:rsid w:val="30CD2521"/>
    <w:rsid w:val="326E0166"/>
    <w:rsid w:val="327F40E6"/>
    <w:rsid w:val="328827F7"/>
    <w:rsid w:val="32E80292"/>
    <w:rsid w:val="33B54162"/>
    <w:rsid w:val="33B60C32"/>
    <w:rsid w:val="34CA6229"/>
    <w:rsid w:val="35586D92"/>
    <w:rsid w:val="359720FA"/>
    <w:rsid w:val="35C054BC"/>
    <w:rsid w:val="365438D3"/>
    <w:rsid w:val="36645FCA"/>
    <w:rsid w:val="370C54DE"/>
    <w:rsid w:val="37412C45"/>
    <w:rsid w:val="37A36CD7"/>
    <w:rsid w:val="38487464"/>
    <w:rsid w:val="387415AD"/>
    <w:rsid w:val="390C77BE"/>
    <w:rsid w:val="3941547E"/>
    <w:rsid w:val="394D348F"/>
    <w:rsid w:val="39B05732"/>
    <w:rsid w:val="39D5416A"/>
    <w:rsid w:val="3C3B065F"/>
    <w:rsid w:val="3DD4297E"/>
    <w:rsid w:val="3EA1684F"/>
    <w:rsid w:val="3F446058"/>
    <w:rsid w:val="3FE326DE"/>
    <w:rsid w:val="40CC5EDF"/>
    <w:rsid w:val="40D667EF"/>
    <w:rsid w:val="419A7831"/>
    <w:rsid w:val="43C071B6"/>
    <w:rsid w:val="44965F15"/>
    <w:rsid w:val="449C7E1E"/>
    <w:rsid w:val="45CB0510"/>
    <w:rsid w:val="477E5958"/>
    <w:rsid w:val="47CE30B0"/>
    <w:rsid w:val="48326701"/>
    <w:rsid w:val="49B06B72"/>
    <w:rsid w:val="4A105C92"/>
    <w:rsid w:val="4AB27A19"/>
    <w:rsid w:val="4C8D6025"/>
    <w:rsid w:val="4CBB608C"/>
    <w:rsid w:val="4CCB138D"/>
    <w:rsid w:val="4DEC1465"/>
    <w:rsid w:val="4EBD75BF"/>
    <w:rsid w:val="4F5B2940"/>
    <w:rsid w:val="50447FC0"/>
    <w:rsid w:val="50835C26"/>
    <w:rsid w:val="51EA4273"/>
    <w:rsid w:val="51F8100B"/>
    <w:rsid w:val="528775F5"/>
    <w:rsid w:val="531A6B64"/>
    <w:rsid w:val="53E72A34"/>
    <w:rsid w:val="54267F9B"/>
    <w:rsid w:val="554D1082"/>
    <w:rsid w:val="56291CEA"/>
    <w:rsid w:val="56A03680"/>
    <w:rsid w:val="574D2D46"/>
    <w:rsid w:val="57F125B6"/>
    <w:rsid w:val="583F4AFD"/>
    <w:rsid w:val="5AAF7ED4"/>
    <w:rsid w:val="5B7C3DA5"/>
    <w:rsid w:val="5B9D7B5D"/>
    <w:rsid w:val="5CD449B0"/>
    <w:rsid w:val="5D934795"/>
    <w:rsid w:val="5E5879D5"/>
    <w:rsid w:val="5E600665"/>
    <w:rsid w:val="5F056BF5"/>
    <w:rsid w:val="5F796BB3"/>
    <w:rsid w:val="5F9E226B"/>
    <w:rsid w:val="5FD22AC5"/>
    <w:rsid w:val="63F06D02"/>
    <w:rsid w:val="642D45E8"/>
    <w:rsid w:val="653D4140"/>
    <w:rsid w:val="6666770B"/>
    <w:rsid w:val="669E30E8"/>
    <w:rsid w:val="67261D48"/>
    <w:rsid w:val="67E54704"/>
    <w:rsid w:val="68624066"/>
    <w:rsid w:val="695B1CE7"/>
    <w:rsid w:val="6BC85664"/>
    <w:rsid w:val="6C523F43"/>
    <w:rsid w:val="6C784183"/>
    <w:rsid w:val="6D075FF0"/>
    <w:rsid w:val="6D3A643F"/>
    <w:rsid w:val="6DBA284C"/>
    <w:rsid w:val="6E7716CA"/>
    <w:rsid w:val="6F3D018E"/>
    <w:rsid w:val="6F6C0CDE"/>
    <w:rsid w:val="6FC54BEF"/>
    <w:rsid w:val="70124132"/>
    <w:rsid w:val="71864518"/>
    <w:rsid w:val="71E722EB"/>
    <w:rsid w:val="72B461BC"/>
    <w:rsid w:val="72E505AA"/>
    <w:rsid w:val="775D10E3"/>
    <w:rsid w:val="792E46C2"/>
    <w:rsid w:val="793F707A"/>
    <w:rsid w:val="7AE244E3"/>
    <w:rsid w:val="7B15597B"/>
    <w:rsid w:val="7CB43903"/>
    <w:rsid w:val="7D025527"/>
    <w:rsid w:val="7EF62F08"/>
    <w:rsid w:val="7F7726A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宋体" w:hAnsi="宋体" w:eastAsia="黑体" w:cs="宋体"/>
      <w:b/>
      <w:bCs/>
      <w:kern w:val="44"/>
      <w:sz w:val="48"/>
      <w:szCs w:val="44"/>
    </w:rPr>
  </w:style>
  <w:style w:type="paragraph" w:styleId="3">
    <w:name w:val="heading 2"/>
    <w:basedOn w:val="1"/>
    <w:next w:val="1"/>
    <w:unhideWhenUsed/>
    <w:qFormat/>
    <w:uiPriority w:val="0"/>
    <w:pPr>
      <w:outlineLvl w:val="1"/>
    </w:pPr>
    <w:rPr>
      <w:rFonts w:ascii="Cambria" w:hAnsi="Cambria"/>
      <w:b/>
      <w:bCs/>
      <w:sz w:val="28"/>
      <w:szCs w:val="32"/>
    </w:rPr>
  </w:style>
  <w:style w:type="paragraph" w:styleId="4">
    <w:name w:val="heading 3"/>
    <w:basedOn w:val="1"/>
    <w:next w:val="1"/>
    <w:unhideWhenUsed/>
    <w:qFormat/>
    <w:uiPriority w:val="0"/>
    <w:pPr>
      <w:outlineLvl w:val="2"/>
    </w:pPr>
    <w:rPr>
      <w:rFonts w:ascii="宋体" w:hAnsi="宋体" w:cs="宋体"/>
      <w:b/>
      <w:bCs/>
      <w:sz w:val="28"/>
      <w:szCs w:val="32"/>
    </w:rPr>
  </w:style>
  <w:style w:type="character" w:default="1" w:styleId="9">
    <w:name w:val="Default Paragraph Font"/>
    <w:link w:val="10"/>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Document Map"/>
    <w:basedOn w:val="1"/>
    <w:qFormat/>
    <w:uiPriority w:val="0"/>
    <w:pPr>
      <w:shd w:val="clear" w:color="auto" w:fill="000080"/>
    </w:pPr>
    <w:rPr>
      <w:szCs w:val="20"/>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10">
    <w:name w:val=" Char Char Char Char"/>
    <w:basedOn w:val="5"/>
    <w:link w:val="9"/>
    <w:qFormat/>
    <w:uiPriority w:val="0"/>
    <w:pPr>
      <w:adjustRightInd w:val="0"/>
      <w:snapToGrid w:val="0"/>
      <w:spacing w:line="360" w:lineRule="auto"/>
    </w:pPr>
  </w:style>
  <w:style w:type="paragraph" w:customStyle="1" w:styleId="12">
    <w:name w:val="_Style 2"/>
    <w:basedOn w:val="1"/>
    <w:qFormat/>
    <w:uiPriority w:val="0"/>
    <w:pPr>
      <w:ind w:firstLine="420" w:firstLineChars="200"/>
    </w:pPr>
  </w:style>
  <w:style w:type="paragraph" w:customStyle="1" w:styleId="13">
    <w:name w:val="Body Text 2"/>
    <w:basedOn w:val="1"/>
    <w:qFormat/>
    <w:uiPriority w:val="0"/>
    <w:pPr>
      <w:adjustRightInd w:val="0"/>
      <w:ind w:firstLine="552"/>
      <w:jc w:val="left"/>
      <w:textAlignment w:val="baseline"/>
    </w:pPr>
    <w:rPr>
      <w:rFonts w:ascii="宋体"/>
      <w:kern w:val="0"/>
      <w:sz w:val="28"/>
      <w:szCs w:val="20"/>
    </w:rPr>
  </w:style>
  <w:style w:type="paragraph" w:customStyle="1" w:styleId="14">
    <w:name w:val="注解（小四，楷体）"/>
    <w:basedOn w:val="1"/>
    <w:qFormat/>
    <w:uiPriority w:val="0"/>
    <w:pPr>
      <w:contextualSpacing/>
    </w:pPr>
    <w:rPr>
      <w:rFonts w:ascii="楷体" w:hAnsi="楷体" w:eastAsia="楷体" w:cs="宋体"/>
      <w:kern w:val="0"/>
      <w:sz w:val="24"/>
    </w:rPr>
  </w:style>
  <w:style w:type="paragraph" w:customStyle="1" w:styleId="15">
    <w:name w:val="表格（小四，宋体）"/>
    <w:basedOn w:val="1"/>
    <w:qFormat/>
    <w:uiPriority w:val="0"/>
    <w:pPr>
      <w:contextualSpacing/>
    </w:pPr>
    <w:rPr>
      <w:rFonts w:ascii="宋体" w:hAnsi="宋体" w:cs="宋体"/>
      <w:kern w:val="0"/>
      <w:sz w:val="24"/>
    </w:rPr>
  </w:style>
  <w:style w:type="character" w:customStyle="1" w:styleId="16">
    <w:name w:val="9pblue1"/>
    <w:basedOn w:val="9"/>
    <w:qFormat/>
    <w:uiPriority w:val="0"/>
    <w:rPr>
      <w:rFonts w:hint="default" w:ascii="Verdana" w:hAnsi="Verdana"/>
      <w:spacing w:val="3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2020-03-20T05:39:00Z</dcterms:created>
  <dc:creator>yinyinqing1</dc:creator>
  <cp:lastModifiedBy>xuting4</cp:lastModifiedBy>
  <dcterms:modified xsi:type="dcterms:W3CDTF">2020-04-29T01:41:12Z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