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宋体" w:hAnsi="宋体"/>
          <w:b/>
          <w:color w:val="0000FF"/>
          <w:sz w:val="36"/>
          <w:szCs w:val="36"/>
        </w:rPr>
      </w:pPr>
    </w:p>
    <w:p>
      <w:pPr>
        <w:spacing w:line="276"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物流分包服务合同</w:t>
      </w:r>
    </w:p>
    <w:p>
      <w:pPr>
        <w:spacing w:line="276" w:lineRule="auto"/>
        <w:ind w:firstLine="6930" w:firstLineChars="3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合同编号：</w:t>
      </w:r>
    </w:p>
    <w:p>
      <w:pPr>
        <w:spacing w:line="276" w:lineRule="auto"/>
        <w:rPr>
          <w:b/>
          <w:bCs/>
          <w:color w:val="000000" w:themeColor="text1"/>
          <w14:textFill>
            <w14:solidFill>
              <w14:schemeClr w14:val="tx1"/>
            </w14:solidFill>
          </w14:textFill>
        </w:rPr>
      </w:pPr>
      <w:r>
        <w:rPr>
          <w:rFonts w:hAnsi="宋体"/>
          <w:b/>
          <w:bCs/>
          <w:color w:val="000000" w:themeColor="text1"/>
          <w14:textFill>
            <w14:solidFill>
              <w14:schemeClr w14:val="tx1"/>
            </w14:solidFill>
          </w14:textFill>
        </w:rPr>
        <w:t>甲方：</w:t>
      </w:r>
      <w:r>
        <w:rPr>
          <w:rFonts w:hint="eastAsia" w:hAnsi="宋体"/>
          <w:b/>
          <w:bCs/>
          <w:color w:val="000000" w:themeColor="text1"/>
          <w14:textFill>
            <w14:solidFill>
              <w14:schemeClr w14:val="tx1"/>
            </w14:solidFill>
          </w14:textFill>
        </w:rPr>
        <w:t>深圳市海格物流股份有限公司</w:t>
      </w:r>
    </w:p>
    <w:p>
      <w:pPr>
        <w:spacing w:after="156" w:afterLines="50" w:line="276" w:lineRule="auto"/>
        <w:rPr>
          <w:b/>
          <w:bCs/>
          <w:color w:val="000000" w:themeColor="text1"/>
          <w14:textFill>
            <w14:solidFill>
              <w14:schemeClr w14:val="tx1"/>
            </w14:solidFill>
          </w14:textFill>
        </w:rPr>
      </w:pPr>
      <w:r>
        <w:rPr>
          <w:rFonts w:hAnsi="宋体"/>
          <w:b/>
          <w:bCs/>
          <w:color w:val="000000" w:themeColor="text1"/>
          <w14:textFill>
            <w14:solidFill>
              <w14:schemeClr w14:val="tx1"/>
            </w14:solidFill>
          </w14:textFill>
        </w:rPr>
        <w:t>乙方：</w:t>
      </w:r>
      <w:r>
        <w:rPr>
          <w:rFonts w:hint="eastAsia" w:hAnsi="宋体"/>
          <w:b/>
          <w:bCs/>
          <w:color w:val="000000" w:themeColor="text1"/>
          <w14:textFill>
            <w14:solidFill>
              <w14:schemeClr w14:val="tx1"/>
            </w14:solidFill>
          </w14:textFill>
        </w:rPr>
        <w:t>深圳市东泰国际物流有限公司</w:t>
      </w:r>
    </w:p>
    <w:p>
      <w:pPr>
        <w:spacing w:line="276" w:lineRule="auto"/>
        <w:ind w:firstLine="420" w:firstLineChars="200"/>
        <w:rPr>
          <w:rFonts w:hAnsi="宋体"/>
          <w:color w:val="000000" w:themeColor="text1"/>
          <w:szCs w:val="24"/>
          <w14:textFill>
            <w14:solidFill>
              <w14:schemeClr w14:val="tx1"/>
            </w14:solidFill>
          </w14:textFill>
        </w:rPr>
      </w:pPr>
    </w:p>
    <w:p>
      <w:pPr>
        <w:spacing w:before="156" w:beforeLines="50" w:line="276"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根据《中华人民共和国</w:t>
      </w:r>
      <w:r>
        <w:rPr>
          <w:rFonts w:hint="eastAsia" w:ascii="宋体" w:hAnsi="宋体"/>
          <w:color w:val="000000" w:themeColor="text1"/>
          <w14:textFill>
            <w14:solidFill>
              <w14:schemeClr w14:val="tx1"/>
            </w14:solidFill>
          </w14:textFill>
        </w:rPr>
        <w:t>民法典</w:t>
      </w:r>
      <w:r>
        <w:rPr>
          <w:rFonts w:ascii="宋体" w:hAnsi="宋体"/>
          <w:color w:val="000000" w:themeColor="text1"/>
          <w14:textFill>
            <w14:solidFill>
              <w14:schemeClr w14:val="tx1"/>
            </w14:solidFill>
          </w14:textFill>
        </w:rPr>
        <w:t>》和中华人民共和国其它相关法律规定，甲、乙双方遵循自愿、平等、合法、诚信的原则签订本合同。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分包服务事项</w:t>
      </w:r>
    </w:p>
    <w:p>
      <w:pPr>
        <w:spacing w:line="276"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合同适用但不限于：中国境内或中国境外跨国/地区之间的进出口的集装箱整柜或拼柜运输、其他运输方式如汽车、火车、多式联运、空运或快递等；中国国境内或跨国/地区委托报关、仓储、运输保险及其他双方具体约定事项。</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承诺与声明</w:t>
      </w:r>
    </w:p>
    <w:p>
      <w:pPr>
        <w:numPr>
          <w:ilvl w:val="0"/>
          <w:numId w:val="2"/>
        </w:numPr>
        <w:spacing w:line="276" w:lineRule="auto"/>
        <w:ind w:left="431" w:leftChars="3" w:hanging="425"/>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法人资格及授权主体</w:t>
      </w:r>
    </w:p>
    <w:p>
      <w:pPr>
        <w:spacing w:line="276" w:lineRule="auto"/>
        <w:ind w:left="424" w:leftChars="202"/>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合同各方声明、保证并承诺：各合同方均是并且将一直是其所在法律管辖范围内有效存在的法律实体，享有拥有其全部财产和资产以及从事其目前正在开展的业务的权利；各合同方有能力执行和完成本合同、并履行其在本合同项下之义务；各合同方签署本合同的工作人员已得到</w:t>
      </w:r>
      <w:r>
        <w:rPr>
          <w:rFonts w:hint="eastAsia" w:hAnsi="宋体"/>
          <w:color w:val="000000" w:themeColor="text1"/>
          <w:szCs w:val="24"/>
          <w14:textFill>
            <w14:solidFill>
              <w14:schemeClr w14:val="tx1"/>
            </w14:solidFill>
          </w14:textFill>
        </w:rPr>
        <w:t>明确</w:t>
      </w:r>
      <w:r>
        <w:rPr>
          <w:rFonts w:hAnsi="宋体"/>
          <w:color w:val="000000" w:themeColor="text1"/>
          <w:szCs w:val="24"/>
          <w14:textFill>
            <w14:solidFill>
              <w14:schemeClr w14:val="tx1"/>
            </w14:solidFill>
          </w14:textFill>
        </w:rPr>
        <w:t>的授权，有权利代表各自一方签署及送达本合同，除非特别声明，签署本合同的工作人员有权代表各签约方履行本合同。</w:t>
      </w:r>
    </w:p>
    <w:p>
      <w:pPr>
        <w:numPr>
          <w:ilvl w:val="0"/>
          <w:numId w:val="2"/>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执照、批文和许可证</w:t>
      </w:r>
    </w:p>
    <w:p>
      <w:pPr>
        <w:spacing w:line="276" w:lineRule="auto"/>
        <w:ind w:left="424" w:leftChars="202"/>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乙方声明并承诺：乙方已取得、并持有</w:t>
      </w:r>
      <w:r>
        <w:rPr>
          <w:rFonts w:hint="eastAsia" w:hAnsi="宋体"/>
          <w:color w:val="000000" w:themeColor="text1"/>
          <w:szCs w:val="24"/>
          <w14:textFill>
            <w14:solidFill>
              <w14:schemeClr w14:val="tx1"/>
            </w14:solidFill>
          </w14:textFill>
        </w:rPr>
        <w:t>合法、有效的</w:t>
      </w:r>
      <w:r>
        <w:rPr>
          <w:rFonts w:hAnsi="宋体"/>
          <w:color w:val="000000" w:themeColor="text1"/>
          <w:szCs w:val="24"/>
          <w14:textFill>
            <w14:solidFill>
              <w14:schemeClr w14:val="tx1"/>
            </w14:solidFill>
          </w14:textFill>
        </w:rPr>
        <w:t>一切执照、批文、许可证、批准书、授权书以及合法地履行本合同项下乙方的义务所需的类似文件，同时乙方保证所投入的人力、设备能够满足履行本合同业务的需要。一旦乙方违反该承诺，甲方随时有权解除本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双方权利义务</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甲方权利义务</w:t>
      </w:r>
    </w:p>
    <w:p>
      <w:pPr>
        <w:numPr>
          <w:ilvl w:val="1"/>
          <w:numId w:val="4"/>
        </w:numPr>
        <w:spacing w:line="276" w:lineRule="auto"/>
        <w:ind w:left="420"/>
        <w:rPr>
          <w:color w:val="000000" w:themeColor="text1"/>
          <w:szCs w:val="24"/>
          <w14:textFill>
            <w14:solidFill>
              <w14:schemeClr w14:val="tx1"/>
            </w14:solidFill>
          </w14:textFill>
        </w:rPr>
      </w:pPr>
      <w:r>
        <w:rPr>
          <w:rFonts w:hAnsi="宋体"/>
          <w:color w:val="000000" w:themeColor="text1"/>
          <w14:textFill>
            <w14:solidFill>
              <w14:schemeClr w14:val="tx1"/>
            </w14:solidFill>
          </w14:textFill>
        </w:rPr>
        <w:t>甲方在乙方的服务</w:t>
      </w:r>
      <w:r>
        <w:rPr>
          <w:rFonts w:ascii="宋体" w:hAnsi="宋体"/>
          <w:color w:val="000000" w:themeColor="text1"/>
          <w14:textFill>
            <w14:solidFill>
              <w14:schemeClr w14:val="tx1"/>
            </w14:solidFill>
          </w14:textFill>
        </w:rPr>
        <w:t>范</w:t>
      </w:r>
      <w:r>
        <w:rPr>
          <w:rFonts w:hAnsi="宋体"/>
          <w:color w:val="000000" w:themeColor="text1"/>
          <w14:textFill>
            <w14:solidFill>
              <w14:schemeClr w14:val="tx1"/>
            </w14:solidFill>
          </w14:textFill>
        </w:rPr>
        <w:t>围内，以《托运单》形式向乙方下达具体的委托，甲方应填写详细、清楚、准确的“委托书”，盖章签字后传真给乙方；或甲方通过《委托下单声明》使用约定的方式向乙方下单。</w:t>
      </w:r>
    </w:p>
    <w:p>
      <w:pPr>
        <w:numPr>
          <w:ilvl w:val="1"/>
          <w:numId w:val="4"/>
        </w:numPr>
        <w:spacing w:line="276" w:lineRule="auto"/>
        <w:ind w:left="420"/>
        <w:rPr>
          <w:color w:val="000000" w:themeColor="text1"/>
          <w14:textFill>
            <w14:solidFill>
              <w14:schemeClr w14:val="tx1"/>
            </w14:solidFill>
          </w14:textFill>
        </w:rPr>
      </w:pPr>
      <w:r>
        <w:rPr>
          <w:rFonts w:hAnsi="宋体"/>
          <w:color w:val="000000" w:themeColor="text1"/>
          <w:szCs w:val="24"/>
          <w14:textFill>
            <w14:solidFill>
              <w14:schemeClr w14:val="tx1"/>
            </w14:solidFill>
          </w14:textFill>
        </w:rPr>
        <w:t>代理报关报检服务。</w:t>
      </w:r>
      <w:r>
        <w:rPr>
          <w:rFonts w:hAnsi="宋体"/>
          <w:color w:val="000000" w:themeColor="text1"/>
          <w14:textFill>
            <w14:solidFill>
              <w14:schemeClr w14:val="tx1"/>
            </w14:solidFill>
          </w14:textFill>
        </w:rPr>
        <w:t>甲方应及时向乙方提供正确的报关报检资料，如因甲方提供单据有误或不准</w:t>
      </w:r>
      <w:r>
        <w:rPr>
          <w:rFonts w:hint="eastAsia" w:hAnsi="宋体"/>
          <w:color w:val="000000" w:themeColor="text1"/>
          <w14:textFill>
            <w14:solidFill>
              <w14:schemeClr w14:val="tx1"/>
            </w14:solidFill>
          </w14:textFill>
        </w:rPr>
        <w:t>确</w:t>
      </w:r>
      <w:r>
        <w:rPr>
          <w:rFonts w:hAnsi="宋体"/>
          <w:color w:val="000000" w:themeColor="text1"/>
          <w14:textFill>
            <w14:solidFill>
              <w14:schemeClr w14:val="tx1"/>
            </w14:solidFill>
          </w14:textFill>
        </w:rPr>
        <w:t>，造成单单不符、单货不符，并由此产生乙方无法正常报关、报验、送货或海关、检疫部门追究等一切责任与乙方无关。</w:t>
      </w:r>
      <w:r>
        <w:rPr>
          <w:rFonts w:hint="eastAsia" w:ascii="宋体" w:hAnsi="宋体"/>
          <w:color w:val="0000FF"/>
        </w:rPr>
        <w:t>从境外转关至保税仓库的货物必须严格保证货物的真实性（含原产地，数量，品牌型号，毛重，净重，尺寸，整机配件等具体信息），实际货物须与装箱单、发票一致，同时保证货物必须符合相关法律法规的要求。在违背本合同要求或因甲方货物的问题发生包括通关、被主管机关处罚等恶劣事件由甲方承担所有法律责任及产生的所有费用(包括但不限于有收据或发票的费用)，甲方应赔偿由此给乙方造成的损失，同时乙方有权向甲方收取惩罚性违约金（按解决事件所产生</w:t>
      </w:r>
      <w:r>
        <w:rPr>
          <w:rFonts w:hint="eastAsia" w:ascii="宋体" w:hAnsi="宋体"/>
          <w:color w:val="0000FF"/>
          <w:lang w:val="en-US" w:eastAsia="zh-CN"/>
        </w:rPr>
        <w:t>的</w:t>
      </w:r>
      <w:r>
        <w:rPr>
          <w:rFonts w:hint="eastAsia" w:ascii="宋体" w:hAnsi="宋体"/>
          <w:color w:val="0000FF"/>
        </w:rPr>
        <w:t>总费用收取），乙方并有权利和义务将甲方当时所提供的业务负责人身份信息提供给海关，商检和公安机关</w:t>
      </w:r>
    </w:p>
    <w:p>
      <w:pPr>
        <w:numPr>
          <w:ilvl w:val="1"/>
          <w:numId w:val="4"/>
        </w:numPr>
        <w:spacing w:line="276" w:lineRule="auto"/>
        <w:ind w:left="420"/>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运输服务。</w:t>
      </w:r>
      <w:r>
        <w:rPr>
          <w:rFonts w:hAnsi="宋体"/>
          <w:color w:val="000000" w:themeColor="text1"/>
          <w14:textFill>
            <w14:solidFill>
              <w14:schemeClr w14:val="tx1"/>
            </w14:solidFill>
          </w14:textFill>
        </w:rPr>
        <w:t>甲方应根据保证货物装卸、运输、存储安全的原则对货物进行妥善包装。乙方将货物交付收货人之前，甲方可以要求乙方中止运输、返还货物、变更到达地或者将货物交给其他收货人</w:t>
      </w:r>
      <w:r>
        <w:rPr>
          <w:rFonts w:hint="eastAsia" w:hAnsi="宋体"/>
          <w:color w:val="000000" w:themeColor="text1"/>
          <w14:textFill>
            <w14:solidFill>
              <w14:schemeClr w14:val="tx1"/>
            </w14:solidFill>
          </w14:textFill>
        </w:rPr>
        <w:t>。如产生额外费用的，乙方应提供产生额外费用的相应凭证，甲方应根据凭证向乙方支付由此产生的额外费用。</w:t>
      </w:r>
    </w:p>
    <w:p>
      <w:pPr>
        <w:numPr>
          <w:ilvl w:val="1"/>
          <w:numId w:val="4"/>
        </w:numPr>
        <w:ind w:left="420"/>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仓储服务。</w:t>
      </w:r>
      <w:r>
        <w:rPr>
          <w:rFonts w:hAnsi="宋体"/>
          <w:color w:val="000000" w:themeColor="text1"/>
          <w14:textFill>
            <w14:solidFill>
              <w14:schemeClr w14:val="tx1"/>
            </w14:solidFill>
          </w14:textFill>
        </w:rPr>
        <w:t>根据甲方委托，乙方为甲方交付的货物提供仓储、装卸、拼箱、拆箱、简单加工等服务。甲方应根据保证货物装卸、存储安全的原则对货物进行妥善包装；对货物的装卸、存储有特殊要求的，甲方应及时通知乙方；甲方要求储存易燃、易爆、有毒、有腐蚀性、有放射性等危险物品或者易变质物品的，应当向乙方说明该物品的性质，并提供有关资料，经乙方同意</w:t>
      </w:r>
      <w:r>
        <w:rPr>
          <w:rFonts w:hint="eastAsia" w:hAnsi="宋体"/>
          <w:color w:val="000000" w:themeColor="text1"/>
          <w14:textFill>
            <w14:solidFill>
              <w14:schemeClr w14:val="tx1"/>
            </w14:solidFill>
          </w14:textFill>
        </w:rPr>
        <w:t>方</w:t>
      </w:r>
      <w:r>
        <w:rPr>
          <w:rFonts w:hAnsi="宋体"/>
          <w:color w:val="000000" w:themeColor="text1"/>
          <w14:textFill>
            <w14:solidFill>
              <w14:schemeClr w14:val="tx1"/>
            </w14:solidFill>
          </w14:textFill>
        </w:rPr>
        <w:t>可储存。</w:t>
      </w:r>
      <w:r>
        <w:rPr>
          <w:rFonts w:hAnsi="宋体"/>
          <w:color w:val="000000" w:themeColor="text1"/>
          <w:szCs w:val="24"/>
          <w14:textFill>
            <w14:solidFill>
              <w14:schemeClr w14:val="tx1"/>
            </w14:solidFill>
          </w14:textFill>
        </w:rPr>
        <w:t>甲方有权在支付运费、仓储费等服务费时，先行扣除乙方应承担的货损赔偿及违约金等费用。</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乙方权利义务</w:t>
      </w:r>
    </w:p>
    <w:p>
      <w:pPr>
        <w:numPr>
          <w:ilvl w:val="1"/>
          <w:numId w:val="5"/>
        </w:numPr>
        <w:tabs>
          <w:tab w:val="left" w:pos="993"/>
        </w:tabs>
        <w:spacing w:line="276" w:lineRule="auto"/>
        <w:ind w:left="840" w:leftChars="3" w:hanging="834"/>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代理报关报检服务</w:t>
      </w:r>
      <w:r>
        <w:rPr>
          <w:color w:val="000000" w:themeColor="text1"/>
          <w:szCs w:val="24"/>
          <w14:textFill>
            <w14:solidFill>
              <w14:schemeClr w14:val="tx1"/>
            </w14:solidFill>
          </w14:textFill>
        </w:rPr>
        <w:t xml:space="preserve">                                                     </w:t>
      </w:r>
    </w:p>
    <w:p>
      <w:pPr>
        <w:numPr>
          <w:ilvl w:val="0"/>
          <w:numId w:val="6"/>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乙方应当根据甲方的委托和指示，在代理权限范围内妥善、及时、正确地处理代理事务。需要变更甲方指示的，应当经甲方同意；</w:t>
      </w:r>
    </w:p>
    <w:p>
      <w:pPr>
        <w:numPr>
          <w:ilvl w:val="0"/>
          <w:numId w:val="6"/>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未经甲方书面同意，乙方不可转委托；</w:t>
      </w:r>
    </w:p>
    <w:p>
      <w:pPr>
        <w:numPr>
          <w:ilvl w:val="0"/>
          <w:numId w:val="6"/>
        </w:numPr>
        <w:spacing w:line="276" w:lineRule="auto"/>
        <w:ind w:left="735" w:leftChars="70" w:hanging="588"/>
        <w:rPr>
          <w:color w:val="000000" w:themeColor="text1"/>
          <w:szCs w:val="24"/>
          <w14:textFill>
            <w14:solidFill>
              <w14:schemeClr w14:val="tx1"/>
            </w14:solidFill>
          </w14:textFill>
        </w:rPr>
      </w:pPr>
      <w:r>
        <w:rPr>
          <w:color w:val="000000" w:themeColor="text1"/>
          <w14:textFill>
            <w14:solidFill>
              <w14:schemeClr w14:val="tx1"/>
            </w14:solidFill>
          </w14:textFill>
        </w:rPr>
        <w:t>在代理报关报检过程中，除甲方自己的过失造成损失外，其他任何原因给甲方造成损失的，乙方应该承担赔偿责任。</w:t>
      </w:r>
      <w:r>
        <w:rPr>
          <w:rFonts w:hint="eastAsia"/>
          <w:color w:val="0000FF"/>
        </w:rPr>
        <w:t>涉及海关查验、商检等监管原因导致的扣押或滞后，乙方不承担赔偿责任，但应及时通知甲方并配合甲方处理</w:t>
      </w:r>
      <w:r>
        <w:rPr>
          <w:rFonts w:hint="eastAsia"/>
          <w:color w:val="000000" w:themeColor="text1"/>
          <w14:textFill>
            <w14:solidFill>
              <w14:schemeClr w14:val="tx1"/>
            </w14:solidFill>
          </w14:textFill>
        </w:rPr>
        <w:t>。</w:t>
      </w:r>
    </w:p>
    <w:p>
      <w:pPr>
        <w:numPr>
          <w:ilvl w:val="1"/>
          <w:numId w:val="5"/>
        </w:numPr>
        <w:spacing w:line="276" w:lineRule="auto"/>
        <w:ind w:left="840" w:leftChars="3" w:hanging="834"/>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 xml:space="preserve">运输服务                                                              </w:t>
      </w:r>
    </w:p>
    <w:p>
      <w:pPr>
        <w:numPr>
          <w:ilvl w:val="0"/>
          <w:numId w:val="7"/>
        </w:numPr>
        <w:spacing w:line="276" w:lineRule="auto"/>
        <w:ind w:left="735" w:leftChars="70" w:hanging="588"/>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乙方应当根据甲方委托妥善、及时、正确地安排运输及相关事宜。</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对货物运输过程中发生的变化和进程，乙方应当及时通知甲方，并协助甲方妥善、及时、正确地处理；乙方接收货物或货物上船</w:t>
      </w:r>
      <w:r>
        <w:rPr>
          <w:color w:val="000000" w:themeColor="text1"/>
          <w14:textFill>
            <w14:solidFill>
              <w14:schemeClr w14:val="tx1"/>
            </w14:solidFill>
          </w14:textFill>
        </w:rPr>
        <w:t>/</w:t>
      </w:r>
      <w:r>
        <w:rPr>
          <w:rFonts w:hAnsi="宋体"/>
          <w:color w:val="000000" w:themeColor="text1"/>
          <w14:textFill>
            <w14:solidFill>
              <w14:schemeClr w14:val="tx1"/>
            </w14:solidFill>
          </w14:textFill>
        </w:rPr>
        <w:t>登机后，乙方应及时签发自己的提单</w:t>
      </w:r>
      <w:r>
        <w:rPr>
          <w:color w:val="000000" w:themeColor="text1"/>
          <w14:textFill>
            <w14:solidFill>
              <w14:schemeClr w14:val="tx1"/>
            </w14:solidFill>
          </w14:textFill>
        </w:rPr>
        <w:t>/</w:t>
      </w:r>
      <w:r>
        <w:rPr>
          <w:rFonts w:hAnsi="宋体"/>
          <w:color w:val="000000" w:themeColor="text1"/>
          <w14:textFill>
            <w14:solidFill>
              <w14:schemeClr w14:val="tx1"/>
            </w14:solidFill>
          </w14:textFill>
        </w:rPr>
        <w:t>运单或者转交实际承运人的提单</w:t>
      </w:r>
      <w:r>
        <w:rPr>
          <w:color w:val="000000" w:themeColor="text1"/>
          <w14:textFill>
            <w14:solidFill>
              <w14:schemeClr w14:val="tx1"/>
            </w14:solidFill>
          </w14:textFill>
        </w:rPr>
        <w:t>/</w:t>
      </w:r>
      <w:r>
        <w:rPr>
          <w:rFonts w:hAnsi="宋体"/>
          <w:color w:val="000000" w:themeColor="text1"/>
          <w14:textFill>
            <w14:solidFill>
              <w14:schemeClr w14:val="tx1"/>
            </w14:solidFill>
          </w14:textFill>
        </w:rPr>
        <w:t>运单或者传真</w:t>
      </w:r>
      <w:r>
        <w:rPr>
          <w:color w:val="000000" w:themeColor="text1"/>
          <w14:textFill>
            <w14:solidFill>
              <w14:schemeClr w14:val="tx1"/>
            </w14:solidFill>
          </w14:textFill>
        </w:rPr>
        <w:t>/</w:t>
      </w:r>
      <w:r>
        <w:rPr>
          <w:rFonts w:hAnsi="宋体"/>
          <w:color w:val="000000" w:themeColor="text1"/>
          <w14:textFill>
            <w14:solidFill>
              <w14:schemeClr w14:val="tx1"/>
            </w14:solidFill>
          </w14:textFill>
        </w:rPr>
        <w:t>寄送空运单正本给甲方；</w:t>
      </w:r>
    </w:p>
    <w:p>
      <w:pPr>
        <w:numPr>
          <w:ilvl w:val="0"/>
          <w:numId w:val="7"/>
        </w:numPr>
        <w:spacing w:line="276" w:lineRule="auto"/>
        <w:ind w:left="735" w:leftChars="70" w:hanging="588"/>
        <w:rPr>
          <w:rFonts w:hAnsi="宋体"/>
          <w:color w:val="000000" w:themeColor="text1"/>
          <w14:textFill>
            <w14:solidFill>
              <w14:schemeClr w14:val="tx1"/>
            </w14:solidFill>
          </w14:textFill>
        </w:rPr>
      </w:pPr>
      <w:r>
        <w:rPr>
          <w:color w:val="000000" w:themeColor="text1"/>
          <w:sz w:val="22"/>
          <w14:textFill>
            <w14:solidFill>
              <w14:schemeClr w14:val="tx1"/>
            </w14:solidFill>
          </w14:textFill>
        </w:rPr>
        <w:t>乙方</w:t>
      </w:r>
      <w:r>
        <w:rPr>
          <w:rFonts w:hAnsi="宋体"/>
          <w:color w:val="000000" w:themeColor="text1"/>
          <w14:textFill>
            <w14:solidFill>
              <w14:schemeClr w14:val="tx1"/>
            </w14:solidFill>
          </w14:textFill>
        </w:rPr>
        <w:t>对运输过程中造成货物的毁损、灭失以及货物运输迟延承担全</w:t>
      </w:r>
      <w:r>
        <w:rPr>
          <w:rFonts w:hint="eastAsia" w:hAnsi="宋体"/>
          <w:color w:val="000000" w:themeColor="text1"/>
          <w14:textFill>
            <w14:solidFill>
              <w14:schemeClr w14:val="tx1"/>
            </w14:solidFill>
          </w14:textFill>
        </w:rPr>
        <w:t>部</w:t>
      </w:r>
      <w:r>
        <w:rPr>
          <w:rFonts w:hAnsi="宋体"/>
          <w:color w:val="000000" w:themeColor="text1"/>
          <w14:textFill>
            <w14:solidFill>
              <w14:schemeClr w14:val="tx1"/>
            </w14:solidFill>
          </w14:textFill>
        </w:rPr>
        <w:t>赔偿责任。具体赔偿范围及标准按照本协议第三条</w:t>
      </w:r>
      <w:r>
        <w:rPr>
          <w:rFonts w:hint="eastAsia" w:hAnsi="宋体"/>
          <w:color w:val="000000" w:themeColor="text1"/>
          <w14:textFill>
            <w14:solidFill>
              <w14:schemeClr w14:val="tx1"/>
            </w14:solidFill>
          </w14:textFill>
        </w:rPr>
        <w:t>第3款</w:t>
      </w:r>
      <w:r>
        <w:rPr>
          <w:rFonts w:hAnsi="宋体"/>
          <w:color w:val="000000" w:themeColor="text1"/>
          <w14:textFill>
            <w14:solidFill>
              <w14:schemeClr w14:val="tx1"/>
            </w14:solidFill>
          </w14:textFill>
        </w:rPr>
        <w:t>的约定</w:t>
      </w:r>
      <w:r>
        <w:rPr>
          <w:rFonts w:hint="eastAsia" w:hAnsi="宋体"/>
          <w:color w:val="000000" w:themeColor="text1"/>
          <w14:textFill>
            <w14:solidFill>
              <w14:schemeClr w14:val="tx1"/>
            </w14:solidFill>
          </w14:textFill>
        </w:rPr>
        <w:t>处理</w:t>
      </w:r>
      <w:r>
        <w:rPr>
          <w:rFonts w:hAnsi="宋体"/>
          <w:color w:val="000000" w:themeColor="text1"/>
          <w14:textFill>
            <w14:solidFill>
              <w14:schemeClr w14:val="tx1"/>
            </w14:solidFill>
          </w14:textFill>
        </w:rPr>
        <w:t>。但乙方证明货物的毁损、灭失或运输迟延是因不可抗力、货物本身的自然</w:t>
      </w:r>
      <w:r>
        <w:rPr>
          <w:rFonts w:hint="eastAsia" w:hAnsi="宋体"/>
          <w:color w:val="000000" w:themeColor="text1"/>
          <w14:textFill>
            <w14:solidFill>
              <w14:schemeClr w14:val="tx1"/>
            </w14:solidFill>
          </w14:textFill>
        </w:rPr>
        <w:t>属性</w:t>
      </w:r>
      <w:r>
        <w:rPr>
          <w:rFonts w:hAnsi="宋体"/>
          <w:color w:val="000000" w:themeColor="text1"/>
          <w14:textFill>
            <w14:solidFill>
              <w14:schemeClr w14:val="tx1"/>
            </w14:solidFill>
          </w14:textFill>
        </w:rPr>
        <w:t>或者合理损耗以及甲方、收货人的过错造成的，不承担赔偿责任；</w:t>
      </w:r>
      <w:r>
        <w:rPr>
          <w:rFonts w:hint="eastAsia" w:hAnsi="宋体"/>
          <w:color w:val="000000" w:themeColor="text1"/>
          <w14:textFill>
            <w14:solidFill>
              <w14:schemeClr w14:val="tx1"/>
            </w14:solidFill>
          </w14:textFill>
        </w:rPr>
        <w:t>乙方应在知道或应当知道不可抗力情形发生之日起5日内书面通知甲方并提供相应凭证，否则乙方应承担赔偿责任。</w:t>
      </w:r>
    </w:p>
    <w:p>
      <w:pPr>
        <w:spacing w:line="276" w:lineRule="auto"/>
        <w:ind w:left="735"/>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本款所称的不可抗力仅限于严重自然灾害。乙方应通过预报得知履行合同期间可能发生的自然灾害，并采取必要措施避免或减少损失，否则仍应承担赔偿责任。</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为保障甲方托运货物的正常航空运输，甲方在运输前向乙方提供计费重量及体积的参考数据。如在日后的结算中双方对重量或体积无法达成一致，乙方负责提供航空主运单，无法提供主运单时必须提供机场货站或航空公司开具</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相关证明文件，经甲方确认后作为结算依据；甲方交运的航空货运货物以双方约定的时效为运输</w:t>
      </w:r>
      <w:r>
        <w:rPr>
          <w:rFonts w:hint="eastAsia" w:hAnsi="宋体"/>
          <w:color w:val="000000" w:themeColor="text1"/>
          <w14:textFill>
            <w14:solidFill>
              <w14:schemeClr w14:val="tx1"/>
            </w14:solidFill>
          </w14:textFill>
        </w:rPr>
        <w:t>期限</w:t>
      </w:r>
      <w:r>
        <w:rPr>
          <w:rFonts w:hAnsi="宋体"/>
          <w:color w:val="000000" w:themeColor="text1"/>
          <w14:textFill>
            <w14:solidFill>
              <w14:schemeClr w14:val="tx1"/>
            </w14:solidFill>
          </w14:textFill>
        </w:rPr>
        <w:t>标准。提供门到门服务的，乙方需按合同约定</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时间到达，否则按合同约定时间每延误</w:t>
      </w:r>
      <w:r>
        <w:rPr>
          <w:color w:val="000000" w:themeColor="text1"/>
          <w14:textFill>
            <w14:solidFill>
              <w14:schemeClr w14:val="tx1"/>
            </w14:solidFill>
          </w14:textFill>
        </w:rPr>
        <w:t>1</w:t>
      </w:r>
      <w:r>
        <w:rPr>
          <w:rFonts w:hAnsi="宋体"/>
          <w:color w:val="000000" w:themeColor="text1"/>
          <w14:textFill>
            <w14:solidFill>
              <w14:schemeClr w14:val="tx1"/>
            </w14:solidFill>
          </w14:textFill>
        </w:rPr>
        <w:t>小时扣除该批运费</w:t>
      </w:r>
      <w:r>
        <w:rPr>
          <w:color w:val="000000" w:themeColor="text1"/>
          <w14:textFill>
            <w14:solidFill>
              <w14:schemeClr w14:val="tx1"/>
            </w14:solidFill>
          </w14:textFill>
        </w:rPr>
        <w:t>10%</w:t>
      </w:r>
      <w:r>
        <w:rPr>
          <w:rFonts w:hAnsi="宋体"/>
          <w:color w:val="000000" w:themeColor="text1"/>
          <w14:textFill>
            <w14:solidFill>
              <w14:schemeClr w14:val="tx1"/>
            </w14:solidFill>
          </w14:textFill>
        </w:rPr>
        <w:t>（不可抗力情况下且及时通知甲方的除外）；</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乙方保证在本合同有效期间及合同结束后二年内，不从事与甲方利益相抵触的业务，尤其是乙方不得与甲方客户直接或间接发生业务关系，一经发现，乙方应当</w:t>
      </w:r>
      <w:r>
        <w:rPr>
          <w:rFonts w:hint="eastAsia" w:hAnsi="宋体"/>
          <w:color w:val="000000" w:themeColor="text1"/>
          <w14:textFill>
            <w14:solidFill>
              <w14:schemeClr w14:val="tx1"/>
            </w14:solidFill>
          </w14:textFill>
        </w:rPr>
        <w:t>支付甲方补偿金（</w:t>
      </w:r>
      <w:r>
        <w:rPr>
          <w:rFonts w:hAnsi="宋体"/>
          <w:color w:val="000000" w:themeColor="text1"/>
          <w14:textFill>
            <w14:solidFill>
              <w14:schemeClr w14:val="tx1"/>
            </w14:solidFill>
          </w14:textFill>
        </w:rPr>
        <w:t>按照甲乙双方过去一年服务费用总额的</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计算，</w:t>
      </w:r>
      <w:r>
        <w:rPr>
          <w:rFonts w:hAnsi="宋体"/>
          <w:color w:val="000000" w:themeColor="text1"/>
          <w14:textFill>
            <w14:solidFill>
              <w14:schemeClr w14:val="tx1"/>
            </w14:solidFill>
          </w14:textFill>
        </w:rPr>
        <w:t>如果双方的合同执行尚未满一年，则按照已经发生的每月业务平均值计算出过去一年的业务总量），且甲方有权单方面终止合同；</w:t>
      </w:r>
    </w:p>
    <w:p>
      <w:pPr>
        <w:numPr>
          <w:ilvl w:val="1"/>
          <w:numId w:val="5"/>
        </w:numPr>
        <w:spacing w:line="276" w:lineRule="auto"/>
        <w:ind w:left="840" w:leftChars="3" w:hanging="834"/>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 xml:space="preserve">仓储服务                                                              </w:t>
      </w:r>
    </w:p>
    <w:p>
      <w:pPr>
        <w:numPr>
          <w:ilvl w:val="0"/>
          <w:numId w:val="8"/>
        </w:numPr>
        <w:spacing w:line="276" w:lineRule="auto"/>
        <w:ind w:left="735" w:leftChars="70" w:hanging="588"/>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乙方应当按照约定对甲方或甲方指定第三方交付的入库货物进行验收，并按甲方指示交付仓单。乙方验收时发现入库货物与约定不符的，应当及时通知甲方；</w:t>
      </w:r>
    </w:p>
    <w:p>
      <w:pPr>
        <w:numPr>
          <w:ilvl w:val="0"/>
          <w:numId w:val="8"/>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乙方根据甲方或者仓单持有人的要求，应当同意其检查仓储物或者提取样品；</w:t>
      </w:r>
    </w:p>
    <w:p>
      <w:pPr>
        <w:numPr>
          <w:ilvl w:val="0"/>
          <w:numId w:val="8"/>
        </w:numPr>
        <w:spacing w:line="276" w:lineRule="auto"/>
        <w:ind w:left="735" w:leftChars="70" w:hanging="588"/>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乙方需保证甲方货物的及时进出，并能够根据甲方要求提供24小时出入库业务。</w:t>
      </w:r>
    </w:p>
    <w:p>
      <w:pPr>
        <w:numPr>
          <w:ilvl w:val="0"/>
          <w:numId w:val="8"/>
        </w:numPr>
        <w:spacing w:line="276" w:lineRule="auto"/>
        <w:ind w:left="735" w:leftChars="70" w:hanging="588"/>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存储期间，乙方需对其存储的货物承担损害赔偿责任。但</w:t>
      </w:r>
      <w:r>
        <w:rPr>
          <w:rFonts w:hint="eastAsia" w:hAnsi="宋体"/>
          <w:color w:val="000000" w:themeColor="text1"/>
          <w:szCs w:val="24"/>
          <w14:textFill>
            <w14:solidFill>
              <w14:schemeClr w14:val="tx1"/>
            </w14:solidFill>
          </w14:textFill>
        </w:rPr>
        <w:t>乙方有证据证明</w:t>
      </w:r>
      <w:r>
        <w:rPr>
          <w:rFonts w:hAnsi="宋体"/>
          <w:color w:val="000000" w:themeColor="text1"/>
          <w:szCs w:val="24"/>
          <w14:textFill>
            <w14:solidFill>
              <w14:schemeClr w14:val="tx1"/>
            </w14:solidFill>
          </w14:textFill>
        </w:rPr>
        <w:t>因货物的性质、包装不符合约定或者超过有效储存期造成仓储物变质、损坏的，乙方</w:t>
      </w:r>
      <w:r>
        <w:rPr>
          <w:rFonts w:hint="eastAsia" w:hAnsi="宋体"/>
          <w:color w:val="000000" w:themeColor="text1"/>
          <w:szCs w:val="24"/>
          <w14:textFill>
            <w14:solidFill>
              <w14:schemeClr w14:val="tx1"/>
            </w14:solidFill>
          </w14:textFill>
        </w:rPr>
        <w:t>可</w:t>
      </w:r>
      <w:r>
        <w:rPr>
          <w:rFonts w:hAnsi="宋体"/>
          <w:color w:val="000000" w:themeColor="text1"/>
          <w:szCs w:val="24"/>
          <w14:textFill>
            <w14:solidFill>
              <w14:schemeClr w14:val="tx1"/>
            </w14:solidFill>
          </w14:textFill>
        </w:rPr>
        <w:t>不承担损害赔偿责任。</w:t>
      </w:r>
      <w:r>
        <w:rPr>
          <w:rFonts w:hint="eastAsia" w:hAnsi="宋体"/>
          <w:color w:val="000000" w:themeColor="text1"/>
          <w:szCs w:val="24"/>
          <w14:textFill>
            <w14:solidFill>
              <w14:schemeClr w14:val="tx1"/>
            </w14:solidFill>
          </w14:textFill>
        </w:rPr>
        <w:t xml:space="preserve"> </w:t>
      </w:r>
    </w:p>
    <w:p>
      <w:pPr>
        <w:numPr>
          <w:ilvl w:val="0"/>
          <w:numId w:val="8"/>
        </w:numPr>
        <w:spacing w:line="276" w:lineRule="auto"/>
        <w:ind w:left="735" w:leftChars="70" w:hanging="588"/>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货物出货时，乙方需根据提货人提供的甲方向乙方仓库备案的正式的提货凭证出货。</w:t>
      </w:r>
    </w:p>
    <w:p>
      <w:pPr>
        <w:numPr>
          <w:ilvl w:val="0"/>
          <w:numId w:val="8"/>
        </w:numPr>
        <w:spacing w:line="276" w:lineRule="auto"/>
        <w:ind w:left="735" w:leftChars="70" w:hanging="588"/>
        <w:rPr>
          <w:rFonts w:hAnsi="宋体"/>
          <w:color w:val="000000" w:themeColor="text1"/>
          <w:szCs w:val="24"/>
          <w14:textFill>
            <w14:solidFill>
              <w14:schemeClr w14:val="tx1"/>
            </w14:solidFill>
          </w14:textFill>
        </w:rPr>
        <w:sectPr>
          <w:footerReference r:id="rId6" w:type="first"/>
          <w:footerReference r:id="rId5" w:type="default"/>
          <w:pgSz w:w="11906" w:h="16838"/>
          <w:pgMar w:top="1134" w:right="851" w:bottom="851" w:left="1134" w:header="737" w:footer="851" w:gutter="0"/>
          <w:cols w:space="425" w:num="1"/>
          <w:titlePg/>
          <w:docGrid w:type="lines" w:linePitch="312" w:charSpace="0"/>
        </w:sectPr>
      </w:pPr>
      <w:r>
        <w:rPr>
          <w:rFonts w:hint="eastAsia" w:hAnsi="宋体"/>
          <w:color w:val="000000" w:themeColor="text1"/>
          <w:szCs w:val="24"/>
          <w14:textFill>
            <w14:solidFill>
              <w14:schemeClr w14:val="tx1"/>
            </w14:solidFill>
          </w14:textFill>
        </w:rPr>
        <w:t>乙方应对于当天出库的货物应及时盘点，同时应及时与甲方进行数据核对，以便有效的避免货差和问题的及时解决。</w:t>
      </w:r>
      <w:r>
        <w:rPr>
          <w:rFonts w:hAnsi="宋体"/>
          <w:szCs w:val="24"/>
        </w:rPr>
        <w:tab/>
      </w:r>
      <w:bookmarkStart w:id="0" w:name="_GoBack"/>
      <w:bookmarkEnd w:id="0"/>
    </w:p>
    <w:p>
      <w:pPr>
        <w:spacing w:line="400" w:lineRule="exact"/>
        <w:rPr>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乙方提供风险保证金人民币</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元（以甲方实际收到的金额为准），</w:t>
      </w:r>
      <w:r>
        <w:rPr>
          <w:rFonts w:hint="eastAsia"/>
          <w:color w:val="000000" w:themeColor="text1"/>
          <w14:textFill>
            <w14:solidFill>
              <w14:schemeClr w14:val="tx1"/>
            </w14:solidFill>
          </w14:textFill>
        </w:rPr>
        <w:t>该保证金采用以下第__/___种方式支付：</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1）自协议签订后的</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日内乙方向甲方指定账号支付保证金___/__元。甲方指定账号信息:收款单位：_____/_____________；账号：___________/________；开户行：____________/______</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2）自协议签订后乙方同意甲方从乙方运费中扣除__/___元作为保证金，该保证金支付以甲方实际扣除乙方运费的时间为准。(不足部分乙方应于甲方通知之日起三天内补齐)</w:t>
      </w:r>
    </w:p>
    <w:p>
      <w:pPr>
        <w:spacing w:line="360" w:lineRule="auto"/>
        <w:ind w:left="420" w:firstLine="440" w:firstLineChars="200"/>
        <w:jc w:val="left"/>
        <w:rPr>
          <w:rFonts w:hAnsi="宋体"/>
          <w:color w:val="000000" w:themeColor="text1"/>
          <w:sz w:val="22"/>
          <w:szCs w:val="22"/>
          <w14:textFill>
            <w14:solidFill>
              <w14:schemeClr w14:val="tx1"/>
            </w14:solidFill>
          </w14:textFill>
        </w:rPr>
      </w:pPr>
      <w:r>
        <w:rPr>
          <w:rFonts w:hint="eastAsia"/>
          <w:color w:val="000000"/>
          <w:sz w:val="22"/>
          <w:szCs w:val="22"/>
        </w:rPr>
        <w:t>3）如甲乙双方属于续签合同，原缴纳的保证金将自动转入本协议年度。</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甲方将在收到乙方保证金后的五个工作日内出具保证金收据给乙方，保证金收据一式两份，甲乙双方各执一份。如在本合同有效期内甲方委托乙方运输的货物在乙方承运期间完好无损，甲方在本合同期满或终止后由乙方提供甲方出具的保证金收据给到甲方，甲方将在接收到保证金收据后的30天内将保证金无息返还给乙方。乙方同意，甲方有权在上述保证金中扣收乙方应给付甲方的违约金、赔偿金。如在合同期限内继续合作，乙方应在保证金扣除后3个工作日内补足保证金，否则甲方有权在运费中扣除相应金额作为保证金。</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乙方承担因乙方或其分包商（无论该分包商是否经过甲方批准）的违约/不当行为导致甲方对任何第三方承担的赔偿责任，该赔偿责任包括第三方向甲方主张且甲方必须偿付的任何直接</w:t>
      </w:r>
      <w:r>
        <w:rPr>
          <w:rFonts w:hint="eastAsia" w:hAnsi="宋体"/>
          <w:color w:val="000000" w:themeColor="text1"/>
          <w:szCs w:val="21"/>
          <w14:textFill>
            <w14:solidFill>
              <w14:schemeClr w14:val="tx1"/>
            </w14:solidFill>
          </w14:textFill>
        </w:rPr>
        <w:t>损失以及</w:t>
      </w:r>
      <w:r>
        <w:rPr>
          <w:rFonts w:hAnsi="宋体"/>
          <w:color w:val="000000" w:themeColor="text1"/>
          <w:szCs w:val="21"/>
          <w14:textFill>
            <w14:solidFill>
              <w14:schemeClr w14:val="tx1"/>
            </w14:solidFill>
          </w14:textFill>
        </w:rPr>
        <w:t>间接损失，包括但不限于货物的实际损失（货物单价按照实际完税价格计算）、甲方客户对甲方的索赔额、甲方向乙方索赔发生的诉讼费用、律师费用等；乙方或其分包商如果出具了印有背面条款的文件（诸如提单、运单、仓单等），则该背面条款有关乙方责任免除、赔偿责任限额以及排除甲方权利或加重甲方义务的部分无效。</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一旦发生运输异常（含货损事故），乙方应及时以电话、邮件方式报告甲方，采取适当的减损措施，配合甲方收集报险材料，并在三个自然日内（或按甲方书面要求的时间），提供加盖乙方公章的事故说明文件。该文件应列明事故发生时间、地点、承运车辆及司机信息、事故经过、货损情况、报险情况、事故现场拍照留底相片等。乙方不履行上述义务的，甲方有权解除合同，并不予支付乙方所有未结清的运杂费用。</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发生货损事故后，甲方有权根据本合同第三条</w:t>
      </w:r>
      <w:r>
        <w:rPr>
          <w:rFonts w:hint="eastAsia" w:hAnsi="宋体"/>
          <w:szCs w:val="21"/>
        </w:rPr>
        <w:t>2.2.</w:t>
      </w:r>
      <w:r>
        <w:rPr>
          <w:rFonts w:hAnsi="宋体"/>
          <w:szCs w:val="21"/>
        </w:rPr>
        <w:t>3的约定要求乙方承担赔偿责任的，乙方均得先行向甲方承担赔偿责任，而无论该批货物是否购买保险，赔偿范围及数额依据本合同第三条</w:t>
      </w:r>
      <w:r>
        <w:rPr>
          <w:rFonts w:hint="eastAsia" w:hAnsi="宋体"/>
          <w:szCs w:val="21"/>
        </w:rPr>
        <w:t>2.2.</w:t>
      </w:r>
      <w:r>
        <w:rPr>
          <w:rFonts w:hAnsi="宋体"/>
          <w:szCs w:val="21"/>
        </w:rPr>
        <w:t>3及</w:t>
      </w:r>
      <w:r>
        <w:rPr>
          <w:rFonts w:hint="eastAsia" w:hAnsi="宋体"/>
          <w:szCs w:val="21"/>
        </w:rPr>
        <w:t>3</w:t>
      </w:r>
      <w:r>
        <w:rPr>
          <w:rFonts w:hAnsi="宋体"/>
          <w:color w:val="000000" w:themeColor="text1"/>
          <w:szCs w:val="21"/>
          <w14:textFill>
            <w14:solidFill>
              <w14:schemeClr w14:val="tx1"/>
            </w14:solidFill>
          </w14:textFill>
        </w:rPr>
        <w:t>.的约定</w:t>
      </w:r>
      <w:r>
        <w:rPr>
          <w:rFonts w:hint="eastAsia" w:hAnsi="宋体"/>
          <w:color w:val="000000" w:themeColor="text1"/>
          <w:szCs w:val="21"/>
          <w14:textFill>
            <w14:solidFill>
              <w14:schemeClr w14:val="tx1"/>
            </w14:solidFill>
          </w14:textFill>
        </w:rPr>
        <w:t>处理</w:t>
      </w:r>
      <w:r>
        <w:rPr>
          <w:rFonts w:hAnsi="宋体"/>
          <w:color w:val="000000" w:themeColor="text1"/>
          <w:szCs w:val="21"/>
          <w14:textFill>
            <w14:solidFill>
              <w14:schemeClr w14:val="tx1"/>
            </w14:solidFill>
          </w14:textFill>
        </w:rPr>
        <w:t>。货损责任不明时，甲方有权暂停支付与涉案事故损失相当的运费，待责任明确后再按合同相应条款进行运费支付。</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乙方保证严格执行附件（</w:t>
      </w:r>
      <w:r>
        <w:rPr>
          <w:rFonts w:hint="eastAsia" w:hAnsi="宋体"/>
          <w:color w:val="000000" w:themeColor="text1"/>
          <w:szCs w:val="21"/>
          <w14:textFill>
            <w14:solidFill>
              <w14:schemeClr w14:val="tx1"/>
            </w14:solidFill>
          </w14:textFill>
        </w:rPr>
        <w:t>一</w:t>
      </w:r>
      <w:r>
        <w:rPr>
          <w:rFonts w:hAnsi="宋体"/>
          <w:color w:val="000000" w:themeColor="text1"/>
          <w:szCs w:val="21"/>
          <w14:textFill>
            <w14:solidFill>
              <w14:schemeClr w14:val="tx1"/>
            </w14:solidFill>
          </w14:textFill>
        </w:rPr>
        <w:t>）《廉洁协议》中有关廉政条款的约定。</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在任何情况下，乙方均不得留置或扣押本合同项下甲方委托其承运/仓储/代理的任何财物（包括单据），否则乙方承担由此造成</w:t>
      </w:r>
      <w:r>
        <w:rPr>
          <w:rFonts w:hint="eastAsia" w:hAnsi="宋体"/>
          <w:color w:val="000000" w:themeColor="text1"/>
          <w:szCs w:val="21"/>
          <w14:textFill>
            <w14:solidFill>
              <w14:schemeClr w14:val="tx1"/>
            </w14:solidFill>
          </w14:textFill>
        </w:rPr>
        <w:t>的</w:t>
      </w:r>
      <w:r>
        <w:rPr>
          <w:rFonts w:hAnsi="宋体"/>
          <w:color w:val="000000" w:themeColor="text1"/>
          <w:szCs w:val="21"/>
          <w14:textFill>
            <w14:solidFill>
              <w14:schemeClr w14:val="tx1"/>
            </w14:solidFill>
          </w14:textFill>
        </w:rPr>
        <w:t>一切损失和责任，且甲方有权解除合同。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合同变更与终止</w:t>
      </w:r>
    </w:p>
    <w:p>
      <w:pPr>
        <w:numPr>
          <w:ilvl w:val="0"/>
          <w:numId w:val="9"/>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变更</w:t>
      </w:r>
    </w:p>
    <w:p>
      <w:pPr>
        <w:spacing w:line="276" w:lineRule="auto"/>
        <w:ind w:left="420" w:leftChars="200"/>
        <w:rPr>
          <w:color w:val="000000" w:themeColor="text1"/>
          <w:szCs w:val="24"/>
          <w14:textFill>
            <w14:solidFill>
              <w14:schemeClr w14:val="tx1"/>
            </w14:solidFill>
          </w14:textFill>
        </w:rPr>
      </w:pPr>
      <w:r>
        <w:rPr>
          <w:rFonts w:hAnsi="宋体"/>
          <w:color w:val="000000" w:themeColor="text1"/>
          <w:szCs w:val="21"/>
          <w14:textFill>
            <w14:solidFill>
              <w14:schemeClr w14:val="tx1"/>
            </w14:solidFill>
          </w14:textFill>
        </w:rPr>
        <w:t>甲乙双方必需认真履行合同中的各项规定。若其中任何一方因故需变更合同中的任何条款时，都必须经双方协商书面签署同意后，方可执行。</w:t>
      </w:r>
    </w:p>
    <w:p>
      <w:pPr>
        <w:numPr>
          <w:ilvl w:val="0"/>
          <w:numId w:val="9"/>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终止</w:t>
      </w:r>
    </w:p>
    <w:p>
      <w:pPr>
        <w:spacing w:line="276" w:lineRule="auto"/>
        <w:ind w:left="420" w:leftChars="200"/>
        <w:rPr>
          <w:bCs/>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甲乙双方的任何一方均可通知另一方终止本合同。本合同自该项书面通知发出后的</w:t>
      </w:r>
      <w:r>
        <w:rPr>
          <w:color w:val="000000" w:themeColor="text1"/>
          <w:szCs w:val="21"/>
          <w14:textFill>
            <w14:solidFill>
              <w14:schemeClr w14:val="tx1"/>
            </w14:solidFill>
          </w14:textFill>
        </w:rPr>
        <w:t>30</w:t>
      </w:r>
      <w:r>
        <w:rPr>
          <w:rFonts w:hAnsi="宋体"/>
          <w:color w:val="000000" w:themeColor="text1"/>
          <w:szCs w:val="21"/>
          <w14:textFill>
            <w14:solidFill>
              <w14:schemeClr w14:val="tx1"/>
            </w14:solidFill>
          </w14:textFill>
        </w:rPr>
        <w:t>天自动终止。一方违约，另一方可根据本合同规定终止本合同。</w:t>
      </w:r>
      <w:r>
        <w:rPr>
          <w:rFonts w:hAnsi="宋体"/>
          <w:bCs/>
          <w:color w:val="000000" w:themeColor="text1"/>
          <w:szCs w:val="21"/>
          <w14:textFill>
            <w14:solidFill>
              <w14:schemeClr w14:val="tx1"/>
            </w14:solidFill>
          </w14:textFill>
        </w:rPr>
        <w:t>本合同的终止或期满并不解除合同双方对各自在合同终止或期满前的行为所负的责任和义务。</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费用及结算</w:t>
      </w:r>
    </w:p>
    <w:p>
      <w:pPr>
        <w:numPr>
          <w:ilvl w:val="0"/>
          <w:numId w:val="10"/>
        </w:numPr>
        <w:spacing w:before="156" w:beforeLines="50" w:after="156" w:afterLines="50"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费用以乙方报价、甲方接受的为准</w:t>
      </w:r>
      <w:r>
        <w:rPr>
          <w:rFonts w:hint="eastAsia" w:hAnsi="宋体"/>
          <w:color w:val="000000" w:themeColor="text1"/>
          <w:szCs w:val="21"/>
          <w14:textFill>
            <w14:solidFill>
              <w14:schemeClr w14:val="tx1"/>
            </w14:solidFill>
          </w14:textFill>
        </w:rPr>
        <w:t>，详见附件三《报价单》。合同期限内，乙方无权更改报价。</w:t>
      </w:r>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回单作为公路及水路运输之结算依据，乙方定期返还给甲方的回单</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必须符合甲方的要求，否则甲方不予接受；作为月结客户，乙方需在次月</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5</w:t>
      </w:r>
      <w:r>
        <w:rPr>
          <w:rFonts w:hAnsi="宋体"/>
          <w:color w:val="000000" w:themeColor="text1"/>
          <w:szCs w:val="21"/>
          <w14:textFill>
            <w14:solidFill>
              <w14:schemeClr w14:val="tx1"/>
            </w14:solidFill>
          </w14:textFill>
        </w:rPr>
        <w:t>日之前将上月的回单</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返给甲方，对于未及时返回的回单，甲方有权对该单的运费不予结算，并向乙方追究回单未回造成的甲方对第三方违约而产生的经济损失；</w:t>
      </w:r>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甲方收到上月的回单原件并对期间货损货差的处理表示无异议后，再进行对帐；</w:t>
      </w:r>
      <w:r>
        <w:rPr>
          <w:rFonts w:hint="eastAsia"/>
          <w:color w:val="000000" w:themeColor="text1"/>
          <w14:textFill>
            <w14:solidFill>
              <w14:schemeClr w14:val="tx1"/>
            </w14:solidFill>
          </w14:textFill>
        </w:rPr>
        <w:t>甲方对于乙方所提供的费用账单核对数据有疑问、异议时，乙方需在2个工作日内提供取证，配合甲方解除疑问、异议。如乙方无法在2个工作日内提供取证，以甲方判定为准。如因此造成任何损失，由乙方承担。</w:t>
      </w:r>
      <w:r>
        <w:rPr>
          <w:rFonts w:hAnsi="宋体"/>
          <w:color w:val="000000" w:themeColor="text1"/>
          <w:szCs w:val="21"/>
          <w14:textFill>
            <w14:solidFill>
              <w14:schemeClr w14:val="tx1"/>
            </w14:solidFill>
          </w14:textFill>
        </w:rPr>
        <w:t>账目核对无误后</w:t>
      </w:r>
      <w:r>
        <w:rPr>
          <w:rFonts w:hint="eastAsia" w:hAnsi="宋体"/>
          <w:color w:val="000000" w:themeColor="text1"/>
          <w:szCs w:val="21"/>
          <w14:textFill>
            <w14:solidFill>
              <w14:schemeClr w14:val="tx1"/>
            </w14:solidFill>
          </w14:textFill>
        </w:rPr>
        <w:t>，乙方需在5日内向甲方</w:t>
      </w:r>
      <w:r>
        <w:rPr>
          <w:rFonts w:hAnsi="宋体"/>
          <w:color w:val="000000" w:themeColor="text1"/>
          <w:szCs w:val="21"/>
          <w14:textFill>
            <w14:solidFill>
              <w14:schemeClr w14:val="tx1"/>
            </w14:solidFill>
          </w14:textFill>
        </w:rPr>
        <w:t>开具</w:t>
      </w:r>
      <w:r>
        <w:rPr>
          <w:rFonts w:hint="eastAsia" w:hAnsi="宋体"/>
          <w:color w:val="000000" w:themeColor="text1"/>
          <w:szCs w:val="21"/>
          <w14:textFill>
            <w14:solidFill>
              <w14:schemeClr w14:val="tx1"/>
            </w14:solidFill>
          </w14:textFill>
        </w:rPr>
        <w:t>等额的</w:t>
      </w:r>
      <w:r>
        <w:rPr>
          <w:rFonts w:hAnsi="宋体"/>
          <w:color w:val="000000" w:themeColor="text1"/>
          <w:szCs w:val="21"/>
          <w14:textFill>
            <w14:solidFill>
              <w14:schemeClr w14:val="tx1"/>
            </w14:solidFill>
          </w14:textFill>
        </w:rPr>
        <w:t>运输业增值税专用发票，并按照本条第</w:t>
      </w:r>
      <w:r>
        <w:rPr>
          <w:rFonts w:hint="eastAsia" w:hAnsi="宋体"/>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款的约定付款。</w:t>
      </w:r>
      <w:r>
        <w:rPr>
          <w:color w:val="000000" w:themeColor="text1"/>
          <w14:textFill>
            <w14:solidFill>
              <w14:schemeClr w14:val="tx1"/>
            </w14:solidFill>
          </w14:textFill>
        </w:rPr>
        <w:t>不出具或者迟延出具正确有效发票的，甲方有权拒付或延迟支付对应款项。</w:t>
      </w:r>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双方约定以下列第</w:t>
      </w:r>
      <w:r>
        <w:rPr>
          <w:rFonts w:hint="eastAsia" w:hAnsi="宋体"/>
          <w:color w:val="000000" w:themeColor="text1"/>
          <w:szCs w:val="21"/>
          <w:u w:val="single"/>
          <w14:textFill>
            <w14:solidFill>
              <w14:schemeClr w14:val="tx1"/>
            </w14:solidFill>
          </w14:textFill>
        </w:rPr>
        <w:t xml:space="preserve">    2   </w:t>
      </w:r>
      <w:r>
        <w:rPr>
          <w:rFonts w:hAnsi="宋体"/>
          <w:color w:val="000000" w:themeColor="text1"/>
          <w:szCs w:val="21"/>
          <w14:textFill>
            <w14:solidFill>
              <w14:schemeClr w14:val="tx1"/>
            </w14:solidFill>
          </w14:textFill>
        </w:rPr>
        <w:t>种方式进行费用结算：</w:t>
      </w:r>
    </w:p>
    <w:p>
      <w:pPr>
        <w:numPr>
          <w:ilvl w:val="1"/>
          <w:numId w:val="11"/>
        </w:numPr>
        <w:spacing w:line="276" w:lineRule="auto"/>
        <w:ind w:left="420"/>
        <w:rPr>
          <w:color w:val="000000" w:themeColor="text1"/>
          <w14:textFill>
            <w14:solidFill>
              <w14:schemeClr w14:val="tx1"/>
            </w14:solidFill>
          </w14:textFill>
        </w:rPr>
      </w:pPr>
      <w:r>
        <w:rPr>
          <w:rFonts w:hAnsi="宋体"/>
          <w:color w:val="000000" w:themeColor="text1"/>
          <w14:textFill>
            <w14:solidFill>
              <w14:schemeClr w14:val="tx1"/>
            </w14:solidFill>
          </w14:textFill>
        </w:rPr>
        <w:t>票结，即每做一票，结算一票的费用。</w:t>
      </w:r>
    </w:p>
    <w:p>
      <w:pPr>
        <w:numPr>
          <w:ilvl w:val="1"/>
          <w:numId w:val="11"/>
        </w:numPr>
        <w:spacing w:line="276" w:lineRule="auto"/>
        <w:ind w:left="420"/>
        <w:rPr>
          <w:color w:val="000000" w:themeColor="text1"/>
          <w14:textFill>
            <w14:solidFill>
              <w14:schemeClr w14:val="tx1"/>
            </w14:solidFill>
          </w14:textFill>
        </w:rPr>
      </w:pPr>
      <w:r>
        <w:rPr>
          <w:rFonts w:hAnsi="宋体"/>
          <w:color w:val="000000" w:themeColor="text1"/>
          <w14:textFill>
            <w14:solidFill>
              <w14:schemeClr w14:val="tx1"/>
            </w14:solidFill>
          </w14:textFill>
        </w:rPr>
        <w:t>月结</w:t>
      </w:r>
      <w:r>
        <w:rPr>
          <w:rFonts w:hAnsi="宋体"/>
          <w:color w:val="000000" w:themeColor="text1"/>
          <w:u w:val="single"/>
          <w14:textFill>
            <w14:solidFill>
              <w14:schemeClr w14:val="tx1"/>
            </w14:solidFill>
          </w14:textFill>
        </w:rPr>
        <w:t>　</w:t>
      </w:r>
      <w:r>
        <w:rPr>
          <w:rFonts w:hint="eastAsia" w:hAnsi="宋体"/>
          <w:color w:val="000000" w:themeColor="text1"/>
          <w:u w:val="single"/>
          <w14:textFill>
            <w14:solidFill>
              <w14:schemeClr w14:val="tx1"/>
            </w14:solidFill>
          </w14:textFill>
        </w:rPr>
        <w:t>45</w:t>
      </w:r>
      <w:r>
        <w:rPr>
          <w:rFonts w:hAnsi="宋体"/>
          <w:color w:val="000000" w:themeColor="text1"/>
          <w:u w:val="single"/>
          <w14:textFill>
            <w14:solidFill>
              <w14:schemeClr w14:val="tx1"/>
            </w14:solidFill>
          </w14:textFill>
        </w:rPr>
        <w:t>　　</w:t>
      </w:r>
      <w:r>
        <w:rPr>
          <w:rFonts w:hAnsi="宋体"/>
          <w:color w:val="000000" w:themeColor="text1"/>
          <w14:textFill>
            <w14:solidFill>
              <w14:schemeClr w14:val="tx1"/>
            </w14:solidFill>
          </w14:textFill>
        </w:rPr>
        <w:t>天。</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保密条款</w:t>
      </w:r>
    </w:p>
    <w:p>
      <w:pPr>
        <w:pStyle w:val="15"/>
        <w:numPr>
          <w:ilvl w:val="0"/>
          <w:numId w:val="12"/>
        </w:numPr>
        <w:spacing w:line="360" w:lineRule="auto"/>
        <w:ind w:hangingChars="200"/>
        <w:rPr>
          <w:color w:val="000000"/>
          <w:szCs w:val="21"/>
          <w:lang w:eastAsia="zh-CN"/>
        </w:rPr>
      </w:pPr>
      <w:r>
        <w:rPr>
          <w:rFonts w:ascii="Times New Roman" w:eastAsia="宋体"/>
          <w:color w:val="000000"/>
          <w:szCs w:val="21"/>
          <w:lang w:eastAsia="zh-CN"/>
        </w:rPr>
        <w:t>双方理解本合同（包括任何附件）所涵盖的商业关系的性质及其具体事项构成保密和专有的信息。对任何该等信息的披露将可能对双方造成竞争性损害。因此，任何关于</w:t>
      </w:r>
      <w:r>
        <w:rPr>
          <w:rFonts w:hint="eastAsia" w:ascii="Times New Roman" w:eastAsia="宋体"/>
          <w:color w:val="000000"/>
          <w:szCs w:val="21"/>
          <w:lang w:eastAsia="zh-CN"/>
        </w:rPr>
        <w:t>甲方或者甲方客户</w:t>
      </w:r>
      <w:r>
        <w:rPr>
          <w:rFonts w:ascii="Times New Roman" w:eastAsia="宋体"/>
          <w:color w:val="000000"/>
          <w:szCs w:val="21"/>
          <w:lang w:eastAsia="zh-CN"/>
        </w:rPr>
        <w:t>的成本、程序</w:t>
      </w:r>
      <w:r>
        <w:rPr>
          <w:rFonts w:hint="eastAsia" w:ascii="Times New Roman" w:eastAsia="宋体"/>
          <w:color w:val="000000"/>
          <w:szCs w:val="21"/>
          <w:lang w:eastAsia="zh-CN"/>
        </w:rPr>
        <w:t>、产品、货物</w:t>
      </w:r>
      <w:r>
        <w:rPr>
          <w:rFonts w:ascii="Times New Roman" w:eastAsia="宋体"/>
          <w:color w:val="000000"/>
          <w:szCs w:val="21"/>
          <w:lang w:eastAsia="zh-CN"/>
        </w:rPr>
        <w:t>和其它详情或一方获得的有关另一方的商业活动的信息在任何时候都应作为保密信息，未经该方（视情况而定）事先明确表示书面同意，另一方不得向任何其它方透露。</w:t>
      </w:r>
    </w:p>
    <w:p>
      <w:pPr>
        <w:pStyle w:val="15"/>
        <w:numPr>
          <w:ilvl w:val="0"/>
          <w:numId w:val="12"/>
        </w:numPr>
        <w:spacing w:line="360" w:lineRule="auto"/>
        <w:ind w:hangingChars="200"/>
        <w:rPr>
          <w:rFonts w:hAnsi="宋体"/>
          <w:color w:val="000000" w:themeColor="text1"/>
          <w:szCs w:val="21"/>
          <w:lang w:eastAsia="zh-CN"/>
          <w14:textFill>
            <w14:solidFill>
              <w14:schemeClr w14:val="tx1"/>
            </w14:solidFill>
          </w14:textFill>
        </w:rPr>
      </w:pPr>
      <w:r>
        <w:rPr>
          <w:rFonts w:ascii="Times New Roman" w:eastAsia="宋体"/>
          <w:color w:val="000000"/>
          <w:szCs w:val="21"/>
          <w:lang w:eastAsia="zh-CN"/>
        </w:rPr>
        <w:t>当违反本条或有违反本条的可能时，披露方应有权申请禁止令救济或类似之补救以保证本条所述的义务得以履行。每一方应就所有由于其未能履行其在本条项下的义务而给另一方造成的损害、成本和费用向另一方做出补偿。</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争议解决</w:t>
      </w:r>
    </w:p>
    <w:p>
      <w:pPr>
        <w:numPr>
          <w:ilvl w:val="0"/>
          <w:numId w:val="13"/>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本合同执行中如发生争议，先由双方协商解决，如协商不能解决，则</w:t>
      </w:r>
      <w:r>
        <w:rPr>
          <w:rFonts w:hint="eastAsia" w:hAnsi="宋体"/>
          <w:color w:val="000000" w:themeColor="text1"/>
          <w:szCs w:val="21"/>
          <w14:textFill>
            <w14:solidFill>
              <w14:schemeClr w14:val="tx1"/>
            </w14:solidFill>
          </w14:textFill>
        </w:rPr>
        <w:t>任一方有权</w:t>
      </w:r>
      <w:r>
        <w:rPr>
          <w:rFonts w:hAnsi="宋体"/>
          <w:color w:val="000000" w:themeColor="text1"/>
          <w:szCs w:val="21"/>
          <w14:textFill>
            <w14:solidFill>
              <w14:schemeClr w14:val="tx1"/>
            </w14:solidFill>
          </w14:textFill>
        </w:rPr>
        <w:t>提交</w:t>
      </w:r>
      <w:r>
        <w:rPr>
          <w:rFonts w:hint="eastAsia" w:hAnsi="宋体"/>
          <w:color w:val="000000" w:themeColor="text1"/>
          <w:szCs w:val="21"/>
          <w14:textFill>
            <w14:solidFill>
              <w14:schemeClr w14:val="tx1"/>
            </w14:solidFill>
          </w14:textFill>
        </w:rPr>
        <w:t>深圳国际仲裁院按照其仲裁规则进行</w:t>
      </w:r>
      <w:r>
        <w:rPr>
          <w:rFonts w:hAnsi="宋体"/>
          <w:color w:val="000000" w:themeColor="text1"/>
          <w:szCs w:val="21"/>
          <w14:textFill>
            <w14:solidFill>
              <w14:schemeClr w14:val="tx1"/>
            </w14:solidFill>
          </w14:textFill>
        </w:rPr>
        <w:t>裁决。</w:t>
      </w:r>
    </w:p>
    <w:p>
      <w:pPr>
        <w:numPr>
          <w:ilvl w:val="0"/>
          <w:numId w:val="13"/>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争议处理期间，除正在处理的争议事宜外，双方应继续履行合同的其它方面的条款。</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附则</w:t>
      </w:r>
    </w:p>
    <w:p>
      <w:pPr>
        <w:numPr>
          <w:ilvl w:val="0"/>
          <w:numId w:val="14"/>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本合同正本一式两份，甲乙双方各执一份。有效期</w:t>
      </w:r>
      <w:r>
        <w:rPr>
          <w:rFonts w:hint="eastAsia" w:hAnsi="宋体"/>
          <w:color w:val="000000" w:themeColor="text1"/>
          <w:szCs w:val="21"/>
          <w:u w:val="single"/>
          <w14:textFill>
            <w14:solidFill>
              <w14:schemeClr w14:val="tx1"/>
            </w14:solidFill>
          </w14:textFill>
        </w:rPr>
        <w:t xml:space="preserve"> 1</w:t>
      </w:r>
      <w:r>
        <w:rPr>
          <w:rFonts w:hAnsi="宋体"/>
          <w:color w:val="000000" w:themeColor="text1"/>
          <w:szCs w:val="21"/>
          <w14:textFill>
            <w14:solidFill>
              <w14:schemeClr w14:val="tx1"/>
            </w14:solidFill>
          </w14:textFill>
        </w:rPr>
        <w:t>年，自</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2024</w:t>
      </w:r>
      <w:r>
        <w:rPr>
          <w:rFonts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4</w:t>
      </w:r>
      <w:r>
        <w:rPr>
          <w:rFonts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1</w:t>
      </w:r>
      <w:r>
        <w:rPr>
          <w:rFonts w:hAnsi="宋体"/>
          <w:color w:val="000000" w:themeColor="text1"/>
          <w:szCs w:val="21"/>
          <w14:textFill>
            <w14:solidFill>
              <w14:schemeClr w14:val="tx1"/>
            </w14:solidFill>
          </w14:textFill>
        </w:rPr>
        <w:t>日起至</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2025</w:t>
      </w:r>
      <w:r>
        <w:rPr>
          <w:rFonts w:hAnsi="宋体"/>
          <w:color w:val="000000" w:themeColor="text1"/>
          <w:szCs w:val="21"/>
          <w14:textFill>
            <w14:solidFill>
              <w14:schemeClr w14:val="tx1"/>
            </w14:solidFill>
          </w14:textFill>
        </w:rPr>
        <w:t>年</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3</w:t>
      </w:r>
      <w:r>
        <w:rPr>
          <w:rFonts w:hAnsi="宋体"/>
          <w:color w:val="000000" w:themeColor="text1"/>
          <w:szCs w:val="21"/>
          <w14:textFill>
            <w14:solidFill>
              <w14:schemeClr w14:val="tx1"/>
            </w14:solidFill>
          </w14:textFill>
        </w:rPr>
        <w:t>月</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31</w:t>
      </w:r>
      <w:r>
        <w:rPr>
          <w:rFonts w:hAnsi="宋体"/>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日止。到期后双方如无异议，合同期限自动顺延一年，顺延期满后本合同自动解除，双方如需继续合作可以续签。本合同如有未尽事宜，由双方协商做出补充规定，补充规定与本合同具有同等效力。</w:t>
      </w:r>
    </w:p>
    <w:p>
      <w:pPr>
        <w:numPr>
          <w:ilvl w:val="0"/>
          <w:numId w:val="14"/>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本合同签订前，乙方需提供相关资质证明文件（营业执照、</w:t>
      </w:r>
      <w:r>
        <w:rPr>
          <w:rFonts w:hint="eastAsia" w:hAnsi="宋体"/>
          <w:color w:val="000000" w:themeColor="text1"/>
          <w:szCs w:val="21"/>
          <w14:textFill>
            <w14:solidFill>
              <w14:schemeClr w14:val="tx1"/>
            </w14:solidFill>
          </w14:textFill>
        </w:rPr>
        <w:t>开户许可证</w:t>
      </w:r>
      <w:r>
        <w:rPr>
          <w:rFonts w:hAnsi="宋体"/>
          <w:color w:val="000000" w:themeColor="text1"/>
          <w:szCs w:val="21"/>
          <w14:textFill>
            <w14:solidFill>
              <w14:schemeClr w14:val="tx1"/>
            </w14:solidFill>
          </w14:textFill>
        </w:rPr>
        <w:t>、道路运输经营许可证、仓库消防验收证明等）。</w:t>
      </w:r>
    </w:p>
    <w:p>
      <w:pPr>
        <w:numPr>
          <w:ilvl w:val="0"/>
          <w:numId w:val="1"/>
        </w:numPr>
        <w:spacing w:before="156" w:beforeLines="50" w:after="156" w:afterLines="50" w:line="276" w:lineRule="auto"/>
        <w:ind w:left="0" w:firstLine="0"/>
        <w:rPr>
          <w:b/>
          <w:color w:val="000000" w:themeColor="text1"/>
          <w14:textFill>
            <w14:solidFill>
              <w14:schemeClr w14:val="tx1"/>
            </w14:solidFill>
          </w14:textFill>
        </w:rPr>
      </w:pPr>
      <w:r>
        <w:rPr>
          <w:rFonts w:hint="eastAsia"/>
          <w:b/>
          <w:color w:val="000000" w:themeColor="text1"/>
          <w14:textFill>
            <w14:solidFill>
              <w14:schemeClr w14:val="tx1"/>
            </w14:solidFill>
          </w14:textFill>
        </w:rPr>
        <w:t>合同附件</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廉洁协议</w:t>
      </w:r>
      <w:r>
        <w:rPr>
          <w:rFonts w:hint="eastAsia" w:ascii="宋体" w:hAnsi="宋体"/>
          <w:color w:val="000000" w:themeColor="text1"/>
          <w:szCs w:val="21"/>
          <w14:textFill>
            <w14:solidFill>
              <w14:schemeClr w14:val="tx1"/>
            </w14:solidFill>
          </w14:textFill>
        </w:rPr>
        <w:t>》</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附件二：</w:t>
      </w:r>
      <w:r>
        <w:rPr>
          <w:rFonts w:hint="eastAsia" w:ascii="宋体" w:hAnsi="宋体"/>
          <w:color w:val="000000" w:themeColor="text1"/>
          <w:szCs w:val="21"/>
          <w14:textFill>
            <w14:solidFill>
              <w14:schemeClr w14:val="tx1"/>
            </w14:solidFill>
          </w14:textFill>
        </w:rPr>
        <w:t>《供应商环境管理承诺书》</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附件三：</w:t>
      </w:r>
      <w:r>
        <w:rPr>
          <w:rFonts w:hint="eastAsia" w:ascii="宋体" w:hAnsi="宋体"/>
          <w:color w:val="000000" w:themeColor="text1"/>
          <w:szCs w:val="21"/>
          <w14:textFill>
            <w14:solidFill>
              <w14:schemeClr w14:val="tx1"/>
            </w14:solidFill>
          </w14:textFill>
        </w:rPr>
        <w:t>《报价表》</w:t>
      </w:r>
    </w:p>
    <w:p>
      <w:pPr>
        <w:spacing w:before="156" w:beforeLines="50" w:after="156" w:afterLines="50" w:line="276" w:lineRule="auto"/>
        <w:rPr>
          <w:b/>
          <w:color w:val="000000" w:themeColor="text1"/>
          <w14:textFill>
            <w14:solidFill>
              <w14:schemeClr w14:val="tx1"/>
            </w14:solidFill>
          </w14:textFill>
        </w:rPr>
      </w:pPr>
    </w:p>
    <w:p>
      <w:pPr>
        <w:spacing w:before="240" w:line="276"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甲方：</w:t>
      </w:r>
      <w:r>
        <w:rPr>
          <w:rFonts w:hint="eastAsia" w:ascii="宋体" w:hAnsi="宋体"/>
          <w:color w:val="000000" w:themeColor="text1"/>
          <w14:textFill>
            <w14:solidFill>
              <w14:schemeClr w14:val="tx1"/>
            </w14:solidFill>
          </w14:textFill>
        </w:rPr>
        <w:t>深圳市海格物流股份有限公司</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乙方：</w:t>
      </w:r>
      <w:r>
        <w:rPr>
          <w:rFonts w:hint="eastAsia" w:ascii="宋体" w:hAnsi="宋体"/>
          <w:color w:val="000000" w:themeColor="text1"/>
          <w14:textFill>
            <w14:solidFill>
              <w14:schemeClr w14:val="tx1"/>
            </w14:solidFill>
          </w14:textFill>
        </w:rPr>
        <w:t>深圳市东泰国际物流有限公司</w:t>
      </w:r>
      <w:r>
        <w:rPr>
          <w:rFonts w:ascii="宋体" w:hAnsi="宋体"/>
          <w:color w:val="000000" w:themeColor="text1"/>
          <w14:textFill>
            <w14:solidFill>
              <w14:schemeClr w14:val="tx1"/>
            </w14:solidFill>
          </w14:textFill>
        </w:rPr>
        <w:t xml:space="preserve"> </w:t>
      </w:r>
    </w:p>
    <w:p>
      <w:pPr>
        <w:spacing w:before="240" w:line="276" w:lineRule="auto"/>
        <w:rPr>
          <w:rFonts w:ascii="宋体" w:hAnsi="宋体"/>
          <w:color w:val="000000" w:themeColor="text1"/>
          <w14:textFill>
            <w14:solidFill>
              <w14:schemeClr w14:val="tx1"/>
            </w14:solidFill>
          </w14:textFill>
        </w:rPr>
      </w:pPr>
    </w:p>
    <w:p>
      <w:pPr>
        <w:spacing w:before="240" w:line="276"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代表人：（签章）</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代表人：（签章）</w:t>
      </w:r>
    </w:p>
    <w:p>
      <w:pPr>
        <w:spacing w:before="240" w:line="276" w:lineRule="auto"/>
        <w:rPr>
          <w:rFonts w:ascii="宋体" w:hAnsi="宋体"/>
          <w:color w:val="000000" w:themeColor="text1"/>
          <w14:textFill>
            <w14:solidFill>
              <w14:schemeClr w14:val="tx1"/>
            </w14:solidFill>
          </w14:textFill>
        </w:rPr>
      </w:pPr>
    </w:p>
    <w:p>
      <w:pPr>
        <w:spacing w:before="240" w:line="276" w:lineRule="auto"/>
        <w:rPr>
          <w:rFonts w:ascii="宋体" w:hAnsi="宋体"/>
          <w:color w:val="000000" w:themeColor="text1"/>
          <w14:textFill>
            <w14:solidFill>
              <w14:schemeClr w14:val="tx1"/>
            </w14:solidFill>
          </w14:textFill>
        </w:rPr>
        <w:sectPr>
          <w:pgSz w:w="11906" w:h="16838"/>
          <w:pgMar w:top="0" w:right="851" w:bottom="1418" w:left="1134" w:header="737" w:footer="851" w:gutter="0"/>
          <w:cols w:space="425" w:num="1"/>
          <w:titlePg/>
          <w:docGrid w:type="lines" w:linePitch="312" w:charSpace="0"/>
        </w:sectPr>
      </w:pPr>
      <w:r>
        <w:rPr>
          <w:rFonts w:ascii="宋体" w:hAnsi="宋体"/>
          <w:color w:val="000000" w:themeColor="text1"/>
          <w14:textFill>
            <w14:solidFill>
              <w14:schemeClr w14:val="tx1"/>
            </w14:solidFill>
          </w14:textFill>
        </w:rPr>
        <w:t>签订日：</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日</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签订日：</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日</w:t>
      </w:r>
    </w:p>
    <w:p>
      <w:pPr>
        <w:spacing w:line="40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附件一：</w:t>
      </w:r>
    </w:p>
    <w:p>
      <w:pPr>
        <w:spacing w:before="156" w:beforeLines="50" w:after="156" w:afterLines="50" w:line="340" w:lineRule="exact"/>
        <w:jc w:val="center"/>
        <w:rPr>
          <w:b/>
          <w:bCs/>
          <w:sz w:val="36"/>
          <w:szCs w:val="36"/>
        </w:rPr>
      </w:pPr>
      <w:r>
        <w:rPr>
          <w:b/>
          <w:bCs/>
          <w:sz w:val="36"/>
          <w:szCs w:val="36"/>
        </w:rPr>
        <w:t>廉洁协议</w:t>
      </w:r>
    </w:p>
    <w:p>
      <w:pPr>
        <w:spacing w:before="156" w:beforeLines="50" w:after="156" w:afterLines="50" w:line="340" w:lineRule="exact"/>
        <w:jc w:val="center"/>
        <w:rPr>
          <w:b/>
          <w:bCs/>
          <w:sz w:val="36"/>
          <w:szCs w:val="36"/>
        </w:rPr>
      </w:pPr>
    </w:p>
    <w:p>
      <w:pPr>
        <w:spacing w:line="480" w:lineRule="auto"/>
        <w:ind w:left="218" w:leftChars="104" w:right="199" w:rightChars="95"/>
        <w:rPr>
          <w:b/>
          <w:sz w:val="24"/>
          <w:szCs w:val="24"/>
        </w:rPr>
      </w:pPr>
      <w:r>
        <w:rPr>
          <w:b/>
          <w:sz w:val="24"/>
          <w:szCs w:val="24"/>
        </w:rPr>
        <w:t>甲方: 深圳市海格物流股份有限公司</w:t>
      </w:r>
    </w:p>
    <w:p>
      <w:pPr>
        <w:spacing w:line="480" w:lineRule="auto"/>
        <w:ind w:left="218" w:leftChars="104" w:right="199" w:rightChars="95"/>
        <w:rPr>
          <w:b/>
          <w:bCs/>
          <w:szCs w:val="21"/>
        </w:rPr>
      </w:pPr>
      <w:r>
        <w:rPr>
          <w:b/>
          <w:sz w:val="24"/>
          <w:szCs w:val="24"/>
        </w:rPr>
        <w:t>乙方:</w:t>
      </w:r>
      <w:r>
        <w:rPr>
          <w:bCs/>
          <w:szCs w:val="21"/>
        </w:rPr>
        <w:t xml:space="preserve"> </w:t>
      </w:r>
      <w:r>
        <w:rPr>
          <w:rFonts w:hint="eastAsia" w:ascii="宋体" w:hAnsi="宋体"/>
          <w:b/>
          <w:bCs/>
          <w:color w:val="000000" w:themeColor="text1"/>
          <w14:textFill>
            <w14:solidFill>
              <w14:schemeClr w14:val="tx1"/>
            </w14:solidFill>
          </w14:textFill>
        </w:rPr>
        <w:t>深圳市东泰国际物流有限公司</w:t>
      </w:r>
    </w:p>
    <w:p>
      <w:pPr>
        <w:spacing w:before="156" w:beforeLines="50" w:line="360" w:lineRule="auto"/>
        <w:ind w:left="218" w:leftChars="104" w:right="199" w:rightChars="95"/>
        <w:rPr>
          <w:bCs/>
          <w:sz w:val="24"/>
          <w:szCs w:val="24"/>
        </w:rPr>
      </w:pPr>
      <w:r>
        <w:rPr>
          <w:rFonts w:hint="eastAsia"/>
          <w:bCs/>
          <w:sz w:val="24"/>
          <w:szCs w:val="24"/>
        </w:rPr>
        <w:t>致</w:t>
      </w:r>
      <w:r>
        <w:rPr>
          <w:bCs/>
          <w:sz w:val="24"/>
          <w:szCs w:val="24"/>
        </w:rPr>
        <w:t>力于建立公开、公平、公正、透明的商业环境，甲、乙双方同意在合作中维持高标准的商业道德，杜绝贿赂行为</w:t>
      </w:r>
      <w:r>
        <w:rPr>
          <w:rFonts w:hint="eastAsia"/>
          <w:bCs/>
          <w:sz w:val="24"/>
          <w:szCs w:val="24"/>
        </w:rPr>
        <w:t>，</w:t>
      </w:r>
      <w:r>
        <w:rPr>
          <w:bCs/>
          <w:sz w:val="24"/>
          <w:szCs w:val="24"/>
        </w:rPr>
        <w:t>为形成良好的合作环境，特订立本廉洁协议 。</w:t>
      </w:r>
    </w:p>
    <w:p>
      <w:pPr>
        <w:spacing w:before="156" w:beforeLines="50" w:after="156" w:afterLines="50" w:line="360" w:lineRule="auto"/>
        <w:ind w:left="218" w:leftChars="104" w:right="199" w:rightChars="95"/>
        <w:rPr>
          <w:b/>
          <w:sz w:val="24"/>
          <w:szCs w:val="24"/>
        </w:rPr>
      </w:pPr>
      <w:r>
        <w:rPr>
          <w:b/>
          <w:sz w:val="24"/>
          <w:szCs w:val="24"/>
        </w:rPr>
        <w:t>一、廉洁条款</w:t>
      </w:r>
    </w:p>
    <w:p>
      <w:pPr>
        <w:numPr>
          <w:ilvl w:val="0"/>
          <w:numId w:val="15"/>
        </w:numPr>
        <w:tabs>
          <w:tab w:val="left" w:pos="142"/>
          <w:tab w:val="clear" w:pos="360"/>
        </w:tabs>
        <w:spacing w:before="156" w:beforeLines="50" w:line="360" w:lineRule="auto"/>
        <w:ind w:left="218" w:leftChars="104" w:right="199" w:rightChars="95" w:firstLine="0"/>
        <w:rPr>
          <w:bCs/>
          <w:sz w:val="24"/>
          <w:szCs w:val="24"/>
        </w:rPr>
      </w:pPr>
      <w:r>
        <w:rPr>
          <w:bCs/>
          <w:sz w:val="24"/>
          <w:szCs w:val="24"/>
        </w:rPr>
        <w:t>合作期间，乙方不得以任何理由向甲方员工、亲属或其指定人员进行直接、间接的贿赂或给其不当利益，包括但不限于以下几种行为：</w:t>
      </w:r>
    </w:p>
    <w:p>
      <w:pPr>
        <w:numPr>
          <w:ilvl w:val="1"/>
          <w:numId w:val="16"/>
        </w:numPr>
        <w:spacing w:before="156" w:beforeLines="50" w:line="360" w:lineRule="auto"/>
        <w:ind w:left="218" w:leftChars="104" w:right="199" w:rightChars="95" w:firstLine="0"/>
        <w:rPr>
          <w:bCs/>
          <w:sz w:val="24"/>
          <w:szCs w:val="24"/>
        </w:rPr>
      </w:pPr>
      <w:r>
        <w:rPr>
          <w:bCs/>
          <w:sz w:val="24"/>
          <w:szCs w:val="24"/>
        </w:rPr>
        <w:t>提供任何形式的回扣。</w:t>
      </w:r>
    </w:p>
    <w:p>
      <w:pPr>
        <w:numPr>
          <w:ilvl w:val="1"/>
          <w:numId w:val="16"/>
        </w:numPr>
        <w:spacing w:before="156" w:beforeLines="50" w:line="360" w:lineRule="auto"/>
        <w:ind w:left="218" w:leftChars="104" w:right="199" w:rightChars="95" w:firstLine="0"/>
        <w:rPr>
          <w:bCs/>
          <w:sz w:val="24"/>
          <w:szCs w:val="24"/>
        </w:rPr>
      </w:pPr>
      <w:r>
        <w:rPr>
          <w:bCs/>
          <w:sz w:val="24"/>
          <w:szCs w:val="24"/>
        </w:rPr>
        <w:t>与甲方员工合资、合伙或为任何形式之合作，经营甲方</w:t>
      </w:r>
      <w:r>
        <w:rPr>
          <w:rFonts w:hint="eastAsia"/>
          <w:bCs/>
          <w:sz w:val="24"/>
          <w:szCs w:val="24"/>
        </w:rPr>
        <w:t>的</w:t>
      </w:r>
      <w:r>
        <w:rPr>
          <w:bCs/>
          <w:sz w:val="24"/>
          <w:szCs w:val="24"/>
        </w:rPr>
        <w:t>相关业务。</w:t>
      </w:r>
    </w:p>
    <w:p>
      <w:pPr>
        <w:numPr>
          <w:ilvl w:val="1"/>
          <w:numId w:val="16"/>
        </w:numPr>
        <w:spacing w:before="156" w:beforeLines="50" w:line="360" w:lineRule="auto"/>
        <w:ind w:left="218" w:leftChars="104" w:right="199" w:rightChars="95" w:firstLine="0"/>
        <w:rPr>
          <w:bCs/>
          <w:sz w:val="24"/>
          <w:szCs w:val="24"/>
        </w:rPr>
      </w:pPr>
      <w:r>
        <w:rPr>
          <w:bCs/>
          <w:sz w:val="24"/>
          <w:szCs w:val="24"/>
        </w:rPr>
        <w:t>向甲方员工提供购物卡、购物券、消费券等有价证券及现金。</w:t>
      </w:r>
    </w:p>
    <w:p>
      <w:pPr>
        <w:numPr>
          <w:ilvl w:val="1"/>
          <w:numId w:val="16"/>
        </w:numPr>
        <w:spacing w:before="156" w:beforeLines="50" w:line="360" w:lineRule="auto"/>
        <w:ind w:left="218" w:leftChars="104" w:right="199" w:rightChars="95" w:firstLine="0"/>
        <w:rPr>
          <w:bCs/>
          <w:sz w:val="24"/>
          <w:szCs w:val="24"/>
        </w:rPr>
      </w:pPr>
      <w:r>
        <w:rPr>
          <w:bCs/>
          <w:sz w:val="24"/>
          <w:szCs w:val="24"/>
        </w:rPr>
        <w:t>向甲方员工赠送任何礼品，包括月饼、茶叶、礼盒等。</w:t>
      </w:r>
    </w:p>
    <w:p>
      <w:pPr>
        <w:numPr>
          <w:ilvl w:val="1"/>
          <w:numId w:val="16"/>
        </w:numPr>
        <w:spacing w:before="156" w:beforeLines="50" w:line="360" w:lineRule="auto"/>
        <w:ind w:left="218" w:leftChars="104" w:right="199" w:rightChars="95" w:firstLine="0"/>
        <w:rPr>
          <w:bCs/>
          <w:sz w:val="24"/>
          <w:szCs w:val="24"/>
        </w:rPr>
      </w:pPr>
      <w:r>
        <w:rPr>
          <w:bCs/>
          <w:sz w:val="24"/>
          <w:szCs w:val="24"/>
        </w:rPr>
        <w:t>向甲方员工提供任何形式的高级娱乐消费、宴请等。</w:t>
      </w:r>
    </w:p>
    <w:p>
      <w:pPr>
        <w:numPr>
          <w:ilvl w:val="1"/>
          <w:numId w:val="16"/>
        </w:numPr>
        <w:spacing w:before="156" w:beforeLines="50" w:line="360" w:lineRule="auto"/>
        <w:ind w:left="218" w:leftChars="104" w:right="199" w:rightChars="95" w:firstLine="0"/>
        <w:rPr>
          <w:bCs/>
          <w:sz w:val="24"/>
          <w:szCs w:val="24"/>
        </w:rPr>
      </w:pPr>
      <w:r>
        <w:rPr>
          <w:bCs/>
          <w:sz w:val="24"/>
          <w:szCs w:val="24"/>
        </w:rPr>
        <w:t>与甲方员工发生任何形式的资金往来，包括提供借款等。</w:t>
      </w:r>
    </w:p>
    <w:p>
      <w:pPr>
        <w:numPr>
          <w:ilvl w:val="0"/>
          <w:numId w:val="15"/>
        </w:numPr>
        <w:tabs>
          <w:tab w:val="left" w:pos="142"/>
          <w:tab w:val="clear" w:pos="360"/>
        </w:tabs>
        <w:spacing w:line="360" w:lineRule="auto"/>
        <w:ind w:left="218" w:leftChars="104" w:right="199" w:rightChars="95" w:firstLine="0"/>
        <w:rPr>
          <w:bCs/>
          <w:sz w:val="24"/>
          <w:szCs w:val="24"/>
        </w:rPr>
      </w:pPr>
      <w:r>
        <w:rPr>
          <w:bCs/>
          <w:sz w:val="24"/>
          <w:szCs w:val="24"/>
        </w:rPr>
        <w:t>甲方有关工作人员出于任何理由变相式故意索要回扣，或有直接或间接为自己、亲属谋利的行为，乙方有责任向甲方检举并提供证据。</w:t>
      </w:r>
    </w:p>
    <w:p>
      <w:pPr>
        <w:numPr>
          <w:ilvl w:val="0"/>
          <w:numId w:val="15"/>
        </w:numPr>
        <w:tabs>
          <w:tab w:val="left" w:pos="142"/>
          <w:tab w:val="clear" w:pos="360"/>
        </w:tabs>
        <w:spacing w:line="360" w:lineRule="auto"/>
        <w:ind w:left="218" w:leftChars="104" w:right="199" w:rightChars="95" w:firstLine="0"/>
        <w:rPr>
          <w:bCs/>
          <w:sz w:val="24"/>
          <w:szCs w:val="24"/>
        </w:rPr>
      </w:pPr>
      <w:r>
        <w:rPr>
          <w:bCs/>
          <w:sz w:val="24"/>
          <w:szCs w:val="24"/>
        </w:rPr>
        <w:t>如果乙方知悉其他与甲方合作的合作商有违反本协议之规定之行为，乙方可以向甲方检举并提供相应证据。</w:t>
      </w:r>
    </w:p>
    <w:p>
      <w:pPr>
        <w:numPr>
          <w:ilvl w:val="0"/>
          <w:numId w:val="15"/>
        </w:numPr>
        <w:tabs>
          <w:tab w:val="left" w:pos="142"/>
          <w:tab w:val="clear" w:pos="360"/>
        </w:tabs>
        <w:spacing w:line="360" w:lineRule="auto"/>
        <w:ind w:left="218" w:leftChars="104" w:right="199" w:rightChars="95" w:firstLine="0"/>
        <w:rPr>
          <w:bCs/>
          <w:sz w:val="24"/>
          <w:szCs w:val="24"/>
        </w:rPr>
      </w:pPr>
      <w:r>
        <w:rPr>
          <w:bCs/>
          <w:sz w:val="24"/>
          <w:szCs w:val="24"/>
        </w:rPr>
        <w:t>如果甲方员工对乙方主动提出索取财物要求，或者在乙方没有满足其要求情况下进行故意刁难，乙方可以向甲方进行检举。</w:t>
      </w:r>
    </w:p>
    <w:p>
      <w:pPr>
        <w:spacing w:line="360" w:lineRule="auto"/>
        <w:ind w:left="218" w:leftChars="104" w:right="199" w:rightChars="95"/>
        <w:rPr>
          <w:bCs/>
          <w:sz w:val="24"/>
          <w:szCs w:val="24"/>
        </w:rPr>
      </w:pPr>
      <w:r>
        <w:rPr>
          <w:bCs/>
          <w:sz w:val="24"/>
          <w:szCs w:val="24"/>
        </w:rPr>
        <w:t>上述约定不包括公司层面的礼节性礼物往来，以及</w:t>
      </w:r>
      <w:r>
        <w:rPr>
          <w:sz w:val="24"/>
          <w:szCs w:val="24"/>
        </w:rPr>
        <w:t>一切不违反善良风俗的商业社交活动，例如正当的商业午餐即为允许，甲方亦不禁止小额的象征性公司商业宣传品或推广性赠品。</w:t>
      </w:r>
    </w:p>
    <w:p>
      <w:pPr>
        <w:spacing w:before="156" w:beforeLines="50" w:after="156" w:afterLines="50" w:line="360" w:lineRule="auto"/>
        <w:ind w:left="218" w:leftChars="104" w:right="199" w:rightChars="95"/>
        <w:rPr>
          <w:b/>
          <w:sz w:val="24"/>
          <w:szCs w:val="24"/>
        </w:rPr>
      </w:pPr>
      <w:r>
        <w:rPr>
          <w:b/>
          <w:sz w:val="24"/>
          <w:szCs w:val="24"/>
        </w:rPr>
        <w:t>二、违约责任</w:t>
      </w:r>
    </w:p>
    <w:p>
      <w:pPr>
        <w:spacing w:line="360" w:lineRule="auto"/>
        <w:ind w:left="218" w:leftChars="104" w:right="199" w:rightChars="95"/>
        <w:rPr>
          <w:sz w:val="24"/>
          <w:szCs w:val="24"/>
        </w:rPr>
      </w:pPr>
      <w:r>
        <w:rPr>
          <w:sz w:val="24"/>
          <w:szCs w:val="24"/>
        </w:rPr>
        <w:t>如乙方违反法律或者本廉洁协议中的廉洁条款中的任何一条，甲方将有权作出如下处罚：</w:t>
      </w:r>
    </w:p>
    <w:p>
      <w:pPr>
        <w:numPr>
          <w:ilvl w:val="0"/>
          <w:numId w:val="17"/>
        </w:numPr>
        <w:spacing w:line="360" w:lineRule="auto"/>
        <w:ind w:left="218" w:leftChars="104" w:right="199" w:rightChars="95" w:firstLine="0"/>
        <w:rPr>
          <w:bCs/>
          <w:sz w:val="24"/>
          <w:szCs w:val="24"/>
        </w:rPr>
      </w:pPr>
      <w:r>
        <w:rPr>
          <w:bCs/>
          <w:sz w:val="24"/>
          <w:szCs w:val="24"/>
        </w:rPr>
        <w:t>甲方有权单方面无责立即终止或者解除双方签订的合作协议，乙方应赔偿甲方因此受到直接损失。</w:t>
      </w:r>
    </w:p>
    <w:p>
      <w:pPr>
        <w:numPr>
          <w:ilvl w:val="0"/>
          <w:numId w:val="17"/>
        </w:numPr>
        <w:spacing w:line="360" w:lineRule="auto"/>
        <w:ind w:left="218" w:leftChars="104" w:right="199" w:rightChars="95" w:firstLine="0"/>
        <w:rPr>
          <w:bCs/>
          <w:sz w:val="24"/>
          <w:szCs w:val="24"/>
        </w:rPr>
      </w:pPr>
      <w:r>
        <w:rPr>
          <w:sz w:val="24"/>
          <w:szCs w:val="24"/>
        </w:rPr>
        <w:t>甲方有权自动延长合同结算期三个月。</w:t>
      </w:r>
    </w:p>
    <w:p>
      <w:pPr>
        <w:numPr>
          <w:ilvl w:val="0"/>
          <w:numId w:val="17"/>
        </w:numPr>
        <w:spacing w:line="360" w:lineRule="auto"/>
        <w:ind w:left="218" w:leftChars="104" w:right="199" w:rightChars="95" w:firstLine="0"/>
        <w:rPr>
          <w:bCs/>
          <w:sz w:val="24"/>
          <w:szCs w:val="24"/>
        </w:rPr>
      </w:pPr>
      <w:r>
        <w:rPr>
          <w:sz w:val="24"/>
          <w:szCs w:val="24"/>
        </w:rPr>
        <w:t>乙方同意甲方对其债权余额按八折结算。</w:t>
      </w:r>
    </w:p>
    <w:p>
      <w:pPr>
        <w:numPr>
          <w:ilvl w:val="0"/>
          <w:numId w:val="17"/>
        </w:numPr>
        <w:spacing w:line="360" w:lineRule="auto"/>
        <w:ind w:left="218" w:leftChars="104" w:right="199" w:rightChars="95" w:firstLine="0"/>
        <w:rPr>
          <w:bCs/>
          <w:sz w:val="24"/>
          <w:szCs w:val="24"/>
        </w:rPr>
      </w:pPr>
      <w:r>
        <w:rPr>
          <w:sz w:val="24"/>
          <w:szCs w:val="24"/>
        </w:rPr>
        <w:t>乙方需另行一次性赔偿甲方人民币五万元，</w:t>
      </w:r>
      <w:r>
        <w:rPr>
          <w:bCs/>
          <w:sz w:val="24"/>
          <w:szCs w:val="24"/>
        </w:rPr>
        <w:t>并保留追究乙方法律责任的权利。</w:t>
      </w:r>
    </w:p>
    <w:p>
      <w:pPr>
        <w:spacing w:before="156" w:beforeLines="50" w:after="156" w:afterLines="50" w:line="360" w:lineRule="auto"/>
        <w:ind w:left="218" w:leftChars="104" w:right="199" w:rightChars="95"/>
        <w:rPr>
          <w:b/>
          <w:sz w:val="24"/>
          <w:szCs w:val="24"/>
        </w:rPr>
      </w:pPr>
      <w:r>
        <w:rPr>
          <w:b/>
          <w:sz w:val="24"/>
          <w:szCs w:val="24"/>
        </w:rPr>
        <w:t>三、其他</w:t>
      </w:r>
    </w:p>
    <w:p>
      <w:pPr>
        <w:numPr>
          <w:ilvl w:val="0"/>
          <w:numId w:val="18"/>
        </w:numPr>
        <w:spacing w:line="360" w:lineRule="auto"/>
        <w:ind w:left="218" w:leftChars="104" w:right="199" w:rightChars="95" w:firstLine="0"/>
        <w:rPr>
          <w:bCs/>
          <w:sz w:val="24"/>
          <w:szCs w:val="24"/>
        </w:rPr>
      </w:pPr>
      <w:r>
        <w:rPr>
          <w:bCs/>
          <w:sz w:val="24"/>
          <w:szCs w:val="24"/>
        </w:rPr>
        <w:t>本协议属永久性有效协议，自甲乙双方签字</w:t>
      </w:r>
      <w:r>
        <w:rPr>
          <w:rFonts w:hint="eastAsia"/>
          <w:bCs/>
          <w:sz w:val="24"/>
          <w:szCs w:val="24"/>
        </w:rPr>
        <w:t>或</w:t>
      </w:r>
      <w:r>
        <w:rPr>
          <w:bCs/>
          <w:sz w:val="24"/>
          <w:szCs w:val="24"/>
        </w:rPr>
        <w:t>盖章之时起生效。</w:t>
      </w:r>
    </w:p>
    <w:p>
      <w:pPr>
        <w:numPr>
          <w:ilvl w:val="0"/>
          <w:numId w:val="18"/>
        </w:numPr>
        <w:spacing w:line="360" w:lineRule="auto"/>
        <w:ind w:left="218" w:leftChars="104" w:right="199" w:rightChars="95" w:firstLine="0"/>
        <w:rPr>
          <w:bCs/>
          <w:sz w:val="24"/>
          <w:szCs w:val="24"/>
        </w:rPr>
      </w:pPr>
      <w:r>
        <w:rPr>
          <w:bCs/>
          <w:sz w:val="24"/>
          <w:szCs w:val="24"/>
        </w:rPr>
        <w:t>本协议一式两份,甲乙双方各执一份，作为双方合作协议的补充协议，具同等法律效力。因本协议发生的一</w:t>
      </w:r>
      <w:r>
        <w:rPr>
          <w:rFonts w:hint="eastAsia"/>
          <w:bCs/>
          <w:sz w:val="24"/>
          <w:szCs w:val="24"/>
        </w:rPr>
        <w:t>切</w:t>
      </w:r>
      <w:r>
        <w:rPr>
          <w:bCs/>
          <w:sz w:val="24"/>
          <w:szCs w:val="24"/>
        </w:rPr>
        <w:t>争议，双方同意提交深圳</w:t>
      </w:r>
      <w:r>
        <w:rPr>
          <w:rFonts w:hint="eastAsia"/>
          <w:bCs/>
          <w:sz w:val="24"/>
          <w:szCs w:val="24"/>
        </w:rPr>
        <w:t>国际仲裁院</w:t>
      </w:r>
      <w:r>
        <w:rPr>
          <w:bCs/>
          <w:sz w:val="24"/>
          <w:szCs w:val="24"/>
        </w:rPr>
        <w:t>裁决。</w:t>
      </w:r>
    </w:p>
    <w:p>
      <w:pPr>
        <w:spacing w:before="156" w:beforeLines="50" w:after="156" w:afterLines="50" w:line="360" w:lineRule="auto"/>
        <w:ind w:left="218" w:leftChars="104" w:right="199" w:rightChars="95"/>
        <w:rPr>
          <w:b/>
          <w:sz w:val="24"/>
          <w:szCs w:val="24"/>
        </w:rPr>
      </w:pPr>
      <w:r>
        <w:rPr>
          <w:b/>
          <w:sz w:val="24"/>
          <w:szCs w:val="24"/>
        </w:rPr>
        <w:t>四、附则</w:t>
      </w:r>
    </w:p>
    <w:p>
      <w:pPr>
        <w:spacing w:line="360" w:lineRule="auto"/>
        <w:ind w:left="218" w:leftChars="104" w:right="199" w:rightChars="95"/>
        <w:rPr>
          <w:bCs/>
          <w:sz w:val="24"/>
          <w:szCs w:val="24"/>
        </w:rPr>
      </w:pPr>
      <w:r>
        <w:rPr>
          <w:bCs/>
          <w:sz w:val="24"/>
          <w:szCs w:val="24"/>
        </w:rPr>
        <w:t>甲方检举联系方式：</w:t>
      </w:r>
    </w:p>
    <w:p>
      <w:pPr>
        <w:spacing w:line="360" w:lineRule="auto"/>
        <w:ind w:left="218" w:leftChars="104" w:right="199" w:rightChars="95"/>
        <w:rPr>
          <w:color w:val="000000"/>
          <w:kern w:val="0"/>
          <w:sz w:val="24"/>
          <w:szCs w:val="24"/>
          <w:u w:val="single"/>
        </w:rPr>
      </w:pPr>
      <w:r>
        <w:rPr>
          <w:rFonts w:hint="eastAsia"/>
          <w:bCs/>
          <w:sz w:val="24"/>
          <w:szCs w:val="24"/>
        </w:rPr>
        <w:t>董事会办公室审计部</w:t>
      </w:r>
      <w:r>
        <w:rPr>
          <w:bCs/>
          <w:sz w:val="24"/>
          <w:szCs w:val="24"/>
        </w:rPr>
        <w:t>邮箱：</w:t>
      </w:r>
      <w:r>
        <w:rPr>
          <w:color w:val="000000"/>
          <w:kern w:val="0"/>
          <w:sz w:val="24"/>
          <w:szCs w:val="24"/>
          <w:u w:val="single"/>
        </w:rPr>
        <w:t>audit@hercules-logistics.com</w:t>
      </w:r>
    </w:p>
    <w:p>
      <w:pPr>
        <w:spacing w:line="360" w:lineRule="auto"/>
        <w:ind w:left="218" w:leftChars="104" w:right="199" w:rightChars="95"/>
        <w:rPr>
          <w:bCs/>
          <w:sz w:val="24"/>
          <w:szCs w:val="24"/>
        </w:rPr>
      </w:pPr>
      <w:r>
        <w:rPr>
          <w:rFonts w:hint="eastAsia"/>
          <w:bCs/>
          <w:sz w:val="24"/>
          <w:szCs w:val="24"/>
        </w:rPr>
        <w:t>董事会办公室审计部</w:t>
      </w:r>
      <w:r>
        <w:rPr>
          <w:bCs/>
          <w:sz w:val="24"/>
          <w:szCs w:val="24"/>
        </w:rPr>
        <w:t>电话：</w:t>
      </w:r>
      <w:r>
        <w:rPr>
          <w:rFonts w:hint="eastAsia" w:ascii="微软雅黑" w:hAnsi="微软雅黑" w:eastAsia="微软雅黑"/>
          <w:color w:val="000000"/>
          <w:szCs w:val="21"/>
          <w:shd w:val="clear" w:color="auto" w:fill="FFFFFF"/>
        </w:rPr>
        <w:t>0755-83580000-8003</w:t>
      </w:r>
    </w:p>
    <w:p>
      <w:pPr>
        <w:spacing w:line="360" w:lineRule="auto"/>
        <w:ind w:left="218" w:leftChars="104" w:right="199" w:rightChars="95"/>
        <w:rPr>
          <w:bCs/>
          <w:sz w:val="24"/>
          <w:szCs w:val="24"/>
        </w:rPr>
      </w:pPr>
    </w:p>
    <w:p>
      <w:pPr>
        <w:spacing w:line="360" w:lineRule="auto"/>
        <w:ind w:left="218" w:leftChars="104" w:right="199" w:rightChars="95"/>
        <w:rPr>
          <w:bCs/>
          <w:sz w:val="24"/>
          <w:szCs w:val="24"/>
        </w:rPr>
      </w:pPr>
    </w:p>
    <w:p>
      <w:pPr>
        <w:spacing w:line="360" w:lineRule="auto"/>
        <w:ind w:left="218" w:leftChars="104" w:right="199" w:rightChars="95"/>
        <w:rPr>
          <w:sz w:val="24"/>
          <w:szCs w:val="24"/>
        </w:rPr>
      </w:pPr>
      <w:r>
        <w:rPr>
          <w:rFonts w:hint="eastAsia"/>
          <w:bCs/>
          <w:sz w:val="24"/>
          <w:szCs w:val="24"/>
        </w:rPr>
        <w:t>甲方（盖章）：深圳市海格物流股份有限公司     乙方（盖章）：</w:t>
      </w:r>
      <w:r>
        <w:rPr>
          <w:rFonts w:hint="eastAsia" w:ascii="宋体" w:hAnsi="宋体"/>
          <w:color w:val="000000" w:themeColor="text1"/>
          <w14:textFill>
            <w14:solidFill>
              <w14:schemeClr w14:val="tx1"/>
            </w14:solidFill>
          </w14:textFill>
        </w:rPr>
        <w:t>深圳市东泰国际物流有限公司</w:t>
      </w:r>
    </w:p>
    <w:p>
      <w:pPr>
        <w:spacing w:line="360" w:lineRule="auto"/>
        <w:ind w:left="218" w:leftChars="104" w:right="199" w:rightChars="95"/>
        <w:rPr>
          <w:bCs/>
          <w:sz w:val="24"/>
          <w:szCs w:val="24"/>
        </w:rPr>
      </w:pPr>
    </w:p>
    <w:p>
      <w:pPr>
        <w:spacing w:line="360" w:lineRule="auto"/>
        <w:ind w:left="218" w:leftChars="104" w:right="199" w:rightChars="95"/>
        <w:rPr>
          <w:bCs/>
          <w:sz w:val="24"/>
          <w:szCs w:val="24"/>
        </w:rPr>
      </w:pPr>
      <w:r>
        <w:rPr>
          <w:rFonts w:hint="eastAsia"/>
          <w:bCs/>
          <w:sz w:val="24"/>
          <w:szCs w:val="24"/>
        </w:rPr>
        <w:t>代表人签字：                                代表人签字：</w:t>
      </w:r>
    </w:p>
    <w:p>
      <w:pPr>
        <w:spacing w:line="360" w:lineRule="auto"/>
        <w:ind w:left="218" w:leftChars="104" w:right="199" w:rightChars="95"/>
        <w:rPr>
          <w:bCs/>
          <w:color w:val="000000" w:themeColor="text1"/>
          <w:sz w:val="24"/>
          <w:szCs w:val="24"/>
          <w14:textFill>
            <w14:solidFill>
              <w14:schemeClr w14:val="tx1"/>
            </w14:solidFill>
          </w14:textFill>
        </w:rPr>
        <w:sectPr>
          <w:pgSz w:w="11906" w:h="16838"/>
          <w:pgMar w:top="1134" w:right="851" w:bottom="851" w:left="1134" w:header="737" w:footer="851" w:gutter="0"/>
          <w:cols w:space="425" w:num="1"/>
          <w:titlePg/>
          <w:docGrid w:type="lines" w:linePitch="312" w:charSpace="0"/>
        </w:sectPr>
      </w:pPr>
      <w:r>
        <w:rPr>
          <w:rFonts w:hint="eastAsia"/>
          <w:bCs/>
          <w:sz w:val="24"/>
          <w:szCs w:val="24"/>
        </w:rPr>
        <w:t>日期：</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日</w:t>
      </w:r>
      <w:r>
        <w:rPr>
          <w:rFonts w:hint="eastAsia"/>
          <w:bCs/>
          <w:sz w:val="24"/>
          <w:szCs w:val="24"/>
        </w:rPr>
        <w:t xml:space="preserve">                   日期：</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日</w:t>
      </w:r>
    </w:p>
    <w:p>
      <w:pPr>
        <w:spacing w:line="40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附件二：</w:t>
      </w:r>
    </w:p>
    <w:p>
      <w:pPr>
        <w:spacing w:before="156" w:beforeLines="50"/>
        <w:ind w:firstLine="433" w:firstLineChars="98"/>
        <w:jc w:val="center"/>
        <w:rPr>
          <w:rFonts w:ascii="宋体" w:hAnsi="宋体"/>
          <w:b/>
          <w:sz w:val="44"/>
          <w:szCs w:val="44"/>
        </w:rPr>
      </w:pPr>
      <w:r>
        <w:rPr>
          <w:rFonts w:hint="eastAsia" w:ascii="宋体" w:hAnsi="宋体"/>
          <w:b/>
          <w:sz w:val="44"/>
          <w:szCs w:val="44"/>
        </w:rPr>
        <w:t>供应商环境管理承诺书</w:t>
      </w:r>
    </w:p>
    <w:p>
      <w:pPr>
        <w:spacing w:before="312" w:beforeLines="100" w:after="156" w:afterLines="50" w:line="440" w:lineRule="exact"/>
        <w:ind w:left="420" w:leftChars="200" w:firstLine="658" w:firstLineChars="235"/>
        <w:rPr>
          <w:rFonts w:ascii="宋体" w:hAnsi="宋体"/>
          <w:sz w:val="28"/>
          <w:szCs w:val="28"/>
        </w:rPr>
      </w:pPr>
      <w:r>
        <w:rPr>
          <w:rFonts w:hint="eastAsia" w:ascii="宋体" w:hAnsi="宋体"/>
          <w:sz w:val="28"/>
          <w:szCs w:val="28"/>
        </w:rPr>
        <w:t>我们充分认识到经</w:t>
      </w:r>
      <w:r>
        <w:rPr>
          <w:rFonts w:ascii="宋体" w:hAnsi="宋体"/>
          <w:sz w:val="28"/>
          <w:szCs w:val="28"/>
        </w:rPr>
        <w:t>营</w:t>
      </w:r>
      <w:r>
        <w:rPr>
          <w:rFonts w:hint="eastAsia" w:ascii="宋体" w:hAnsi="宋体"/>
          <w:sz w:val="28"/>
          <w:szCs w:val="28"/>
        </w:rPr>
        <w:t>活</w:t>
      </w:r>
      <w:r>
        <w:rPr>
          <w:rFonts w:ascii="宋体" w:hAnsi="宋体"/>
          <w:sz w:val="28"/>
          <w:szCs w:val="28"/>
        </w:rPr>
        <w:t>动中</w:t>
      </w:r>
      <w:r>
        <w:rPr>
          <w:rFonts w:hint="eastAsia" w:ascii="宋体" w:hAnsi="宋体"/>
          <w:sz w:val="28"/>
          <w:szCs w:val="28"/>
        </w:rPr>
        <w:t>对环境保护的重要意义，不断地完善环境管理、持续改善服务过程各项活动的环境绩效，提高环境管理水平，减</w:t>
      </w:r>
      <w:r>
        <w:rPr>
          <w:rFonts w:ascii="宋体" w:hAnsi="宋体"/>
          <w:sz w:val="28"/>
          <w:szCs w:val="28"/>
        </w:rPr>
        <w:t>少碳的</w:t>
      </w:r>
      <w:r>
        <w:rPr>
          <w:rFonts w:hint="eastAsia" w:ascii="宋体" w:hAnsi="宋体"/>
          <w:sz w:val="28"/>
          <w:szCs w:val="28"/>
        </w:rPr>
        <w:t>排</w:t>
      </w:r>
      <w:r>
        <w:rPr>
          <w:rFonts w:ascii="宋体" w:hAnsi="宋体"/>
          <w:sz w:val="28"/>
          <w:szCs w:val="28"/>
        </w:rPr>
        <w:t>放，</w:t>
      </w:r>
      <w:r>
        <w:rPr>
          <w:rFonts w:hint="eastAsia" w:ascii="宋体" w:hAnsi="宋体"/>
          <w:sz w:val="28"/>
          <w:szCs w:val="28"/>
        </w:rPr>
        <w:t>减少服务活动对环境影响，并承诺做到：</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遵守国家及地方的相关环境和其他要求；</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通过教育培训提高全员的环保意识和技能；</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在原材料选择，工艺确定等活动中，尽量选用对环境无害的材料或工艺；</w:t>
      </w:r>
      <w:r>
        <w:rPr>
          <w:rFonts w:ascii="宋体" w:hAnsi="宋体"/>
          <w:sz w:val="28"/>
          <w:szCs w:val="28"/>
        </w:rPr>
        <w:t xml:space="preserve"> </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对服务过程所用物料进行评估，消除或最大限度减少有害废弃物的产生对</w:t>
      </w:r>
      <w:r>
        <w:rPr>
          <w:rFonts w:ascii="宋体" w:hAnsi="宋体"/>
          <w:sz w:val="28"/>
          <w:szCs w:val="28"/>
        </w:rPr>
        <w:t>环境</w:t>
      </w:r>
      <w:r>
        <w:rPr>
          <w:rFonts w:hint="eastAsia" w:ascii="宋体" w:hAnsi="宋体"/>
          <w:sz w:val="28"/>
          <w:szCs w:val="28"/>
        </w:rPr>
        <w:t>造成的环境影响, 做到污染预防；</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采取</w:t>
      </w:r>
      <w:r>
        <w:rPr>
          <w:rFonts w:ascii="宋体" w:hAnsi="宋体"/>
          <w:sz w:val="28"/>
          <w:szCs w:val="28"/>
        </w:rPr>
        <w:t>有</w:t>
      </w:r>
      <w:r>
        <w:rPr>
          <w:rFonts w:hint="eastAsia" w:ascii="宋体" w:hAnsi="宋体"/>
          <w:sz w:val="28"/>
          <w:szCs w:val="28"/>
        </w:rPr>
        <w:t>效措</w:t>
      </w:r>
      <w:r>
        <w:rPr>
          <w:rFonts w:ascii="宋体" w:hAnsi="宋体"/>
          <w:sz w:val="28"/>
          <w:szCs w:val="28"/>
        </w:rPr>
        <w:t>施，减</w:t>
      </w:r>
      <w:r>
        <w:rPr>
          <w:rFonts w:hint="eastAsia" w:ascii="宋体" w:hAnsi="宋体"/>
          <w:sz w:val="28"/>
          <w:szCs w:val="28"/>
        </w:rPr>
        <w:t>少废水、废气和固体废弃物、</w:t>
      </w:r>
      <w:r>
        <w:rPr>
          <w:rFonts w:ascii="宋体" w:hAnsi="宋体"/>
          <w:sz w:val="28"/>
          <w:szCs w:val="28"/>
        </w:rPr>
        <w:t>噪声</w:t>
      </w:r>
      <w:r>
        <w:rPr>
          <w:rFonts w:hint="eastAsia" w:ascii="宋体" w:hAnsi="宋体"/>
          <w:sz w:val="28"/>
          <w:szCs w:val="28"/>
        </w:rPr>
        <w:t>的排放；</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通过有效的方法开展节约能源、资源的活动；</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识别公司的重大环境因素并加强控制，减少环境影响；</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 xml:space="preserve">逐步建立环境管理体系，持续改善服务过程各项活动的环境绩效。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p>
    <w:p>
      <w:pPr>
        <w:spacing w:before="156" w:beforeLines="50" w:after="156" w:afterLines="50"/>
        <w:rPr>
          <w:rFonts w:ascii="宋体" w:hAnsi="宋体"/>
          <w:sz w:val="24"/>
          <w:szCs w:val="22"/>
        </w:rPr>
      </w:pPr>
    </w:p>
    <w:p>
      <w:pPr>
        <w:spacing w:before="156" w:beforeLines="50" w:after="156" w:afterLines="50"/>
        <w:rPr>
          <w:rFonts w:ascii="宋体" w:hAnsi="宋体"/>
          <w:sz w:val="24"/>
          <w:szCs w:val="22"/>
        </w:rPr>
      </w:pPr>
    </w:p>
    <w:p>
      <w:pPr>
        <w:spacing w:before="156" w:beforeLines="50" w:after="156" w:afterLines="50"/>
        <w:rPr>
          <w:rFonts w:ascii="宋体" w:hAnsi="宋体"/>
          <w:sz w:val="24"/>
          <w:szCs w:val="22"/>
        </w:rPr>
      </w:pPr>
    </w:p>
    <w:p>
      <w:pPr>
        <w:spacing w:before="156" w:beforeLines="50" w:after="156" w:afterLines="50"/>
        <w:ind w:firstLine="2520" w:firstLineChars="1050"/>
        <w:rPr>
          <w:rFonts w:ascii="宋体" w:hAnsi="宋体"/>
          <w:sz w:val="28"/>
          <w:szCs w:val="28"/>
        </w:rPr>
      </w:pPr>
      <w:r>
        <w:rPr>
          <w:rFonts w:hint="eastAsia" w:ascii="宋体" w:hAnsi="宋体"/>
          <w:sz w:val="24"/>
          <w:szCs w:val="22"/>
        </w:rPr>
        <w:t xml:space="preserve">       </w:t>
      </w:r>
      <w:r>
        <w:rPr>
          <w:rFonts w:hint="eastAsia" w:ascii="宋体" w:hAnsi="宋体"/>
          <w:sz w:val="28"/>
          <w:szCs w:val="28"/>
        </w:rPr>
        <w:t>供应商名</w:t>
      </w:r>
      <w:r>
        <w:rPr>
          <w:rFonts w:ascii="宋体" w:hAnsi="宋体"/>
          <w:sz w:val="28"/>
          <w:szCs w:val="28"/>
        </w:rPr>
        <w:t>称</w:t>
      </w:r>
      <w:r>
        <w:rPr>
          <w:rFonts w:hint="eastAsia" w:ascii="宋体" w:hAnsi="宋体"/>
          <w:sz w:val="28"/>
          <w:szCs w:val="28"/>
        </w:rPr>
        <w:t>（公司印章）：</w:t>
      </w:r>
      <w:r>
        <w:rPr>
          <w:rFonts w:hint="eastAsia" w:ascii="宋体" w:hAnsi="宋体"/>
          <w:color w:val="000000" w:themeColor="text1"/>
          <w14:textFill>
            <w14:solidFill>
              <w14:schemeClr w14:val="tx1"/>
            </w14:solidFill>
          </w14:textFill>
        </w:rPr>
        <w:t>深圳市东泰国际物流有限公司</w:t>
      </w:r>
    </w:p>
    <w:p>
      <w:pPr>
        <w:spacing w:before="156" w:beforeLines="50" w:after="156" w:afterLines="50"/>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负责人（签字）</w:t>
      </w:r>
      <w:r>
        <w:rPr>
          <w:rFonts w:ascii="宋体" w:hAnsi="宋体"/>
          <w:sz w:val="28"/>
          <w:szCs w:val="28"/>
        </w:rPr>
        <w:t>：</w:t>
      </w:r>
      <w:r>
        <w:rPr>
          <w:rFonts w:hint="eastAsia" w:ascii="宋体" w:hAnsi="宋体"/>
          <w:sz w:val="28"/>
          <w:szCs w:val="28"/>
        </w:rPr>
        <w:t xml:space="preserve"> </w:t>
      </w:r>
      <w:r>
        <w:rPr>
          <w:rFonts w:ascii="宋体" w:hAnsi="宋体"/>
          <w:sz w:val="28"/>
          <w:szCs w:val="28"/>
        </w:rPr>
        <w:t xml:space="preserve"> </w:t>
      </w:r>
    </w:p>
    <w:p>
      <w:pPr>
        <w:spacing w:before="156" w:beforeLines="50" w:after="156" w:afterLines="50"/>
        <w:rPr>
          <w:rFonts w:ascii="宋体" w:hAnsi="宋体"/>
          <w:sz w:val="28"/>
          <w:szCs w:val="28"/>
        </w:rPr>
      </w:pPr>
    </w:p>
    <w:p>
      <w:pPr>
        <w:spacing w:before="156" w:beforeLines="50" w:after="156" w:afterLines="50"/>
        <w:ind w:firstLine="420"/>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w:t>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年    </w:t>
      </w:r>
      <w:r>
        <w:rPr>
          <w:rFonts w:hint="eastAsia" w:ascii="宋体" w:hAnsi="宋体"/>
          <w:sz w:val="28"/>
          <w:szCs w:val="28"/>
        </w:rPr>
        <w:tab/>
      </w:r>
      <w:r>
        <w:rPr>
          <w:rFonts w:hint="eastAsia" w:ascii="宋体" w:hAnsi="宋体"/>
          <w:sz w:val="28"/>
          <w:szCs w:val="28"/>
        </w:rPr>
        <w:t xml:space="preserve">月      </w:t>
      </w:r>
      <w:r>
        <w:rPr>
          <w:rFonts w:hint="eastAsia" w:ascii="宋体" w:hAnsi="宋体"/>
          <w:sz w:val="28"/>
          <w:szCs w:val="28"/>
        </w:rPr>
        <w:tab/>
      </w:r>
      <w:r>
        <w:rPr>
          <w:rFonts w:hint="eastAsia" w:ascii="宋体" w:hAnsi="宋体"/>
          <w:sz w:val="28"/>
          <w:szCs w:val="28"/>
        </w:rPr>
        <w:t>日</w:t>
      </w:r>
    </w:p>
    <w:sectPr>
      <w:pgSz w:w="11906" w:h="16838"/>
      <w:pgMar w:top="1134" w:right="851" w:bottom="851" w:left="1134" w:header="737"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lang w:val="en-US"/>
      </w:rPr>
    </w:pPr>
    <w:r>
      <w:rPr>
        <w:rFonts w:hint="eastAsia"/>
        <w:lang w:val="en-US"/>
      </w:rPr>
      <w:t xml:space="preserve"> </w:t>
    </w:r>
    <w:r>
      <w:rPr>
        <w:lang w:val="en-US"/>
      </w:rPr>
      <w:t xml:space="preserve">                                                                                        </w:t>
    </w:r>
    <w:r>
      <w:rPr>
        <w:rFonts w:hint="eastAsia"/>
        <w:lang w:val="en-US"/>
      </w:rPr>
      <w:t>HL-SCM-CT-003 Rev.</w:t>
    </w:r>
    <w:r>
      <w:rPr>
        <w:lang w:val="en-US"/>
      </w:rPr>
      <w:t>J</w:t>
    </w:r>
  </w:p>
  <w:p>
    <w:pPr>
      <w:pStyle w:val="5"/>
      <w:ind w:firstLine="4320" w:firstLineChars="2400"/>
    </w:pPr>
    <w:r>
      <w:rPr>
        <w:rFonts w:hint="eastAsia"/>
      </w:rPr>
      <w:t>第</w:t>
    </w:r>
    <w:r>
      <w:fldChar w:fldCharType="begin"/>
    </w:r>
    <w:r>
      <w:instrText xml:space="preserve">PAGE   \* MERGEFORMAT</w:instrText>
    </w:r>
    <w:r>
      <w:fldChar w:fldCharType="separate"/>
    </w:r>
    <w:r>
      <w:t>8</w:t>
    </w:r>
    <w:r>
      <w:fldChar w:fldCharType="end"/>
    </w:r>
    <w:r>
      <w:rPr>
        <w:rFonts w:hint="eastAsia"/>
      </w:rPr>
      <w:t>页，共</w:t>
    </w:r>
    <w:r>
      <w:rPr>
        <w:lang w:val="en-US"/>
      </w:rPr>
      <w:fldChar w:fldCharType="begin"/>
    </w:r>
    <w:r>
      <w:rPr>
        <w:lang w:val="en-US"/>
      </w:rPr>
      <w:instrText xml:space="preserve"> </w:instrText>
    </w:r>
    <w:r>
      <w:rPr>
        <w:rFonts w:hint="eastAsia"/>
        <w:lang w:val="en-US"/>
      </w:rPr>
      <w:instrText xml:space="preserve">NUMPAGES  \* Arabic  \* MERGEFORMAT</w:instrText>
    </w:r>
    <w:r>
      <w:rPr>
        <w:lang w:val="en-US"/>
      </w:rPr>
      <w:instrText xml:space="preserve"> </w:instrText>
    </w:r>
    <w:r>
      <w:rPr>
        <w:lang w:val="en-US"/>
      </w:rPr>
      <w:fldChar w:fldCharType="separate"/>
    </w:r>
    <w:r>
      <w:rPr>
        <w:lang w:val="en-US"/>
      </w:rPr>
      <w:t>9</w:t>
    </w:r>
    <w:r>
      <w:rPr>
        <w:lang w:val="en-US"/>
      </w:rP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16"/>
      </w:rPr>
    </w:pPr>
    <w:r>
      <w:rPr>
        <w:rFonts w:hint="eastAsia"/>
      </w:rPr>
      <w:t>HL-SCM-CT-003 Rev.</w:t>
    </w:r>
    <w:r>
      <w:rPr>
        <w:rFonts w:hint="eastAsia"/>
        <w:lang w:val="en-US"/>
      </w:rPr>
      <w:t>J</w:t>
    </w:r>
  </w:p>
  <w:p>
    <w:pPr>
      <w:pStyle w:val="5"/>
      <w:jc w:val="center"/>
    </w:pPr>
    <w:r>
      <w:rPr>
        <w:rFonts w:hint="eastAsia"/>
      </w:rPr>
      <w:t>第</w:t>
    </w:r>
    <w:r>
      <w:fldChar w:fldCharType="begin"/>
    </w:r>
    <w:r>
      <w:instrText xml:space="preserve">PAGE   \* MERGEFORMAT</w:instrText>
    </w:r>
    <w:r>
      <w:fldChar w:fldCharType="separate"/>
    </w:r>
    <w:r>
      <w:rPr>
        <w:lang w:val="en-US"/>
      </w:rPr>
      <w:t>1</w:t>
    </w:r>
    <w:r>
      <w:fldChar w:fldCharType="end"/>
    </w:r>
    <w:r>
      <w:rPr>
        <w:rFonts w:hint="eastAsia"/>
      </w:rPr>
      <w:t>页，共</w:t>
    </w:r>
    <w:r>
      <w:rPr>
        <w:lang w:val="en-US"/>
      </w:rPr>
      <w:fldChar w:fldCharType="begin"/>
    </w:r>
    <w:r>
      <w:rPr>
        <w:lang w:val="en-US"/>
      </w:rPr>
      <w:instrText xml:space="preserve"> </w:instrText>
    </w:r>
    <w:r>
      <w:rPr>
        <w:rFonts w:hint="eastAsia"/>
        <w:lang w:val="en-US"/>
      </w:rPr>
      <w:instrText xml:space="preserve">NUMPAGES  \* Arabic  \* MERGEFORMAT</w:instrText>
    </w:r>
    <w:r>
      <w:rPr>
        <w:lang w:val="en-US"/>
      </w:rPr>
      <w:instrText xml:space="preserve"> </w:instrText>
    </w:r>
    <w:r>
      <w:rPr>
        <w:lang w:val="en-US"/>
      </w:rPr>
      <w:fldChar w:fldCharType="separate"/>
    </w:r>
    <w:r>
      <w:rPr>
        <w:lang w:val="en-US"/>
      </w:rPr>
      <w:t>9</w:t>
    </w:r>
    <w:r>
      <w:rPr>
        <w:lang w:val="en-US"/>
      </w:rPr>
      <w:fldChar w:fldCharType="end"/>
    </w:r>
    <w:r>
      <w:rPr>
        <w:rFonts w:hint="eastAsia"/>
      </w:rPr>
      <w:t>页</w:t>
    </w:r>
  </w:p>
  <w:p>
    <w:pPr>
      <w:pStyle w:val="5"/>
      <w:tabs>
        <w:tab w:val="right" w:pos="10206"/>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342A7"/>
    <w:multiLevelType w:val="singleLevel"/>
    <w:tmpl w:val="ED6342A7"/>
    <w:lvl w:ilvl="0" w:tentative="0">
      <w:start w:val="1"/>
      <w:numFmt w:val="decimal"/>
      <w:lvlText w:val="%1."/>
      <w:lvlJc w:val="left"/>
      <w:pPr>
        <w:ind w:left="425" w:hanging="425"/>
      </w:pPr>
      <w:rPr>
        <w:rFonts w:hint="default"/>
      </w:rPr>
    </w:lvl>
  </w:abstractNum>
  <w:abstractNum w:abstractNumId="1">
    <w:nsid w:val="0322568D"/>
    <w:multiLevelType w:val="multilevel"/>
    <w:tmpl w:val="0322568D"/>
    <w:lvl w:ilvl="0" w:tentative="0">
      <w:start w:val="1"/>
      <w:numFmt w:val="japaneseCounting"/>
      <w:lvlText w:val="第%1条"/>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114392"/>
    <w:multiLevelType w:val="multilevel"/>
    <w:tmpl w:val="0F114392"/>
    <w:lvl w:ilvl="0" w:tentative="0">
      <w:start w:val="1"/>
      <w:numFmt w:val="decimal"/>
      <w:lvlText w:val="2.1.%1"/>
      <w:lvlJc w:val="left"/>
      <w:pPr>
        <w:ind w:left="1155"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3">
    <w:nsid w:val="0FF55934"/>
    <w:multiLevelType w:val="multilevel"/>
    <w:tmpl w:val="0FF55934"/>
    <w:lvl w:ilvl="0" w:tentative="0">
      <w:start w:val="1"/>
      <w:numFmt w:val="decimal"/>
      <w:lvlText w:val="%1."/>
      <w:lvlJc w:val="left"/>
      <w:pPr>
        <w:tabs>
          <w:tab w:val="left" w:pos="1050"/>
        </w:tabs>
        <w:ind w:left="1050" w:hanging="420"/>
      </w:pPr>
    </w:lvl>
    <w:lvl w:ilvl="1" w:tentative="0">
      <w:start w:val="1"/>
      <w:numFmt w:val="decimal"/>
      <w:lvlText w:val="%2."/>
      <w:lvlJc w:val="left"/>
      <w:pPr>
        <w:tabs>
          <w:tab w:val="left" w:pos="1410"/>
        </w:tabs>
        <w:ind w:left="1410" w:hanging="36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4">
    <w:nsid w:val="17CD4993"/>
    <w:multiLevelType w:val="multilevel"/>
    <w:tmpl w:val="17CD499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88D6925"/>
    <w:multiLevelType w:val="multilevel"/>
    <w:tmpl w:val="288D6925"/>
    <w:lvl w:ilvl="0" w:tentative="0">
      <w:start w:val="1"/>
      <w:numFmt w:val="decimal"/>
      <w:lvlText w:val="%1."/>
      <w:lvlJc w:val="left"/>
      <w:pPr>
        <w:ind w:left="840" w:hanging="420"/>
      </w:pPr>
      <w:rPr>
        <w:rFonts w:hint="default" w:ascii="Times New Roman" w:hAnsi="Times New Roman" w:eastAsia="宋体" w:cs="Times New Roman"/>
      </w:rPr>
    </w:lvl>
    <w:lvl w:ilvl="1" w:tentative="0">
      <w:start w:val="1"/>
      <w:numFmt w:val="decimal"/>
      <w:lvlText w:val="%2、"/>
      <w:lvlJc w:val="left"/>
      <w:pPr>
        <w:ind w:left="1200" w:hanging="360"/>
      </w:pPr>
      <w:rPr>
        <w:rFonts w:hint="default" w:hAnsi="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B410DC4"/>
    <w:multiLevelType w:val="multilevel"/>
    <w:tmpl w:val="2B410DC4"/>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32EA05A5"/>
    <w:multiLevelType w:val="multilevel"/>
    <w:tmpl w:val="32EA05A5"/>
    <w:lvl w:ilvl="0" w:tentative="0">
      <w:start w:val="1"/>
      <w:numFmt w:val="decimal"/>
      <w:lvlText w:val="2.%1"/>
      <w:lvlJc w:val="left"/>
      <w:pPr>
        <w:ind w:left="840" w:hanging="420"/>
      </w:pPr>
      <w:rPr>
        <w:rFonts w:hint="eastAsia"/>
      </w:rPr>
    </w:lvl>
    <w:lvl w:ilvl="1" w:tentative="0">
      <w:start w:val="1"/>
      <w:numFmt w:val="decimal"/>
      <w:lvlText w:val="2.%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B7A7183"/>
    <w:multiLevelType w:val="multilevel"/>
    <w:tmpl w:val="3B7A7183"/>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113B94"/>
    <w:multiLevelType w:val="multilevel"/>
    <w:tmpl w:val="3F113B94"/>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310C5C"/>
    <w:multiLevelType w:val="multilevel"/>
    <w:tmpl w:val="4A310C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7A620E"/>
    <w:multiLevelType w:val="multilevel"/>
    <w:tmpl w:val="4A7A620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122AC7"/>
    <w:multiLevelType w:val="multilevel"/>
    <w:tmpl w:val="4F122AC7"/>
    <w:lvl w:ilvl="0" w:tentative="0">
      <w:start w:val="1"/>
      <w:numFmt w:val="decimal"/>
      <w:lvlText w:val="2.2.%1"/>
      <w:lvlJc w:val="left"/>
      <w:pPr>
        <w:ind w:left="1155"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3">
    <w:nsid w:val="4FA649A1"/>
    <w:multiLevelType w:val="multilevel"/>
    <w:tmpl w:val="4FA649A1"/>
    <w:lvl w:ilvl="0" w:tentative="0">
      <w:start w:val="1"/>
      <w:numFmt w:val="decimal"/>
      <w:lvlText w:val="2.%1"/>
      <w:lvlJc w:val="left"/>
      <w:pPr>
        <w:ind w:left="420" w:hanging="420"/>
      </w:pPr>
      <w:rPr>
        <w:rFonts w:hint="eastAsia"/>
      </w:rPr>
    </w:lvl>
    <w:lvl w:ilvl="1" w:tentative="0">
      <w:start w:val="1"/>
      <w:numFmt w:val="decimalEnclosedCircle"/>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DC7D5F"/>
    <w:multiLevelType w:val="multilevel"/>
    <w:tmpl w:val="6CDC7D5F"/>
    <w:lvl w:ilvl="0" w:tentative="0">
      <w:start w:val="1"/>
      <w:numFmt w:val="decimal"/>
      <w:lvlText w:val="%1"/>
      <w:lvlJc w:val="left"/>
      <w:pPr>
        <w:ind w:left="408" w:hanging="408"/>
      </w:pPr>
      <w:rPr>
        <w:rFonts w:hint="default"/>
      </w:rPr>
    </w:lvl>
    <w:lvl w:ilvl="1" w:tentative="0">
      <w:start w:val="1"/>
      <w:numFmt w:val="decimal"/>
      <w:lvlText w:val="%1.%2"/>
      <w:lvlJc w:val="left"/>
      <w:pPr>
        <w:ind w:left="834" w:hanging="4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2358" w:hanging="108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570" w:hanging="144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782" w:hanging="1800"/>
      </w:pPr>
      <w:rPr>
        <w:rFonts w:hint="default"/>
      </w:rPr>
    </w:lvl>
    <w:lvl w:ilvl="8" w:tentative="0">
      <w:start w:val="1"/>
      <w:numFmt w:val="decimal"/>
      <w:lvlText w:val="%1.%2.%3.%4.%5.%6.%7.%8.%9"/>
      <w:lvlJc w:val="left"/>
      <w:pPr>
        <w:ind w:left="5208" w:hanging="1800"/>
      </w:pPr>
      <w:rPr>
        <w:rFonts w:hint="default"/>
      </w:rPr>
    </w:lvl>
  </w:abstractNum>
  <w:abstractNum w:abstractNumId="15">
    <w:nsid w:val="70E30E7B"/>
    <w:multiLevelType w:val="multilevel"/>
    <w:tmpl w:val="70E30E7B"/>
    <w:lvl w:ilvl="0" w:tentative="0">
      <w:start w:val="1"/>
      <w:numFmt w:val="decimal"/>
      <w:lvlText w:val="2.3.%1"/>
      <w:lvlJc w:val="left"/>
      <w:pPr>
        <w:ind w:left="846"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6">
    <w:nsid w:val="741B79BD"/>
    <w:multiLevelType w:val="multilevel"/>
    <w:tmpl w:val="741B79BD"/>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9446764"/>
    <w:multiLevelType w:val="multilevel"/>
    <w:tmpl w:val="79446764"/>
    <w:lvl w:ilvl="0" w:tentative="0">
      <w:start w:val="1"/>
      <w:numFmt w:val="decimal"/>
      <w:lvlText w:val="%1、"/>
      <w:lvlJc w:val="left"/>
      <w:pPr>
        <w:ind w:left="502"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8">
    <w:nsid w:val="7FBA628A"/>
    <w:multiLevelType w:val="multilevel"/>
    <w:tmpl w:val="7FBA628A"/>
    <w:lvl w:ilvl="0" w:tentative="0">
      <w:start w:val="1"/>
      <w:numFmt w:val="decimal"/>
      <w:lvlText w:val="1.%1."/>
      <w:lvlJc w:val="left"/>
      <w:pPr>
        <w:ind w:left="420" w:hanging="420"/>
      </w:pPr>
      <w:rPr>
        <w:rFonts w:hint="default" w:ascii="Times New Roman" w:hAnsi="Times New Roman"/>
        <w:sz w:val="22"/>
        <w:szCs w:val="22"/>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6"/>
  </w:num>
  <w:num w:numId="3">
    <w:abstractNumId w:val="5"/>
  </w:num>
  <w:num w:numId="4">
    <w:abstractNumId w:val="18"/>
  </w:num>
  <w:num w:numId="5">
    <w:abstractNumId w:val="7"/>
  </w:num>
  <w:num w:numId="6">
    <w:abstractNumId w:val="2"/>
  </w:num>
  <w:num w:numId="7">
    <w:abstractNumId w:val="12"/>
  </w:num>
  <w:num w:numId="8">
    <w:abstractNumId w:val="15"/>
  </w:num>
  <w:num w:numId="9">
    <w:abstractNumId w:val="8"/>
  </w:num>
  <w:num w:numId="10">
    <w:abstractNumId w:val="0"/>
  </w:num>
  <w:num w:numId="11">
    <w:abstractNumId w:val="13"/>
  </w:num>
  <w:num w:numId="12">
    <w:abstractNumId w:val="10"/>
  </w:num>
  <w:num w:numId="13">
    <w:abstractNumId w:val="9"/>
  </w:num>
  <w:num w:numId="14">
    <w:abstractNumId w:val="11"/>
  </w:num>
  <w:num w:numId="15">
    <w:abstractNumId w:val="4"/>
  </w:num>
  <w:num w:numId="16">
    <w:abstractNumId w:val="14"/>
  </w:num>
  <w:num w:numId="17">
    <w:abstractNumId w:val="6"/>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Q0YjJmNWM2OGRjNDE1NDY3NTFhYjhjOWE3N2MifQ=="/>
  </w:docVars>
  <w:rsids>
    <w:rsidRoot w:val="00B13927"/>
    <w:rsid w:val="000039D5"/>
    <w:rsid w:val="000040D4"/>
    <w:rsid w:val="000041F4"/>
    <w:rsid w:val="00005AA3"/>
    <w:rsid w:val="00006940"/>
    <w:rsid w:val="00007D9B"/>
    <w:rsid w:val="00010702"/>
    <w:rsid w:val="000135B9"/>
    <w:rsid w:val="00016ABE"/>
    <w:rsid w:val="00017A34"/>
    <w:rsid w:val="00017CB5"/>
    <w:rsid w:val="00025EF7"/>
    <w:rsid w:val="000269E0"/>
    <w:rsid w:val="00027E53"/>
    <w:rsid w:val="00030E78"/>
    <w:rsid w:val="000354B1"/>
    <w:rsid w:val="00042AE2"/>
    <w:rsid w:val="00043A0B"/>
    <w:rsid w:val="00044388"/>
    <w:rsid w:val="000444E0"/>
    <w:rsid w:val="000539C9"/>
    <w:rsid w:val="00055C92"/>
    <w:rsid w:val="00057A7B"/>
    <w:rsid w:val="00060844"/>
    <w:rsid w:val="0006356D"/>
    <w:rsid w:val="000647E5"/>
    <w:rsid w:val="00065360"/>
    <w:rsid w:val="00065A72"/>
    <w:rsid w:val="00066216"/>
    <w:rsid w:val="000676E4"/>
    <w:rsid w:val="000710E8"/>
    <w:rsid w:val="00080BC3"/>
    <w:rsid w:val="00081A5D"/>
    <w:rsid w:val="0008457B"/>
    <w:rsid w:val="00084A08"/>
    <w:rsid w:val="00085030"/>
    <w:rsid w:val="00085810"/>
    <w:rsid w:val="000872DB"/>
    <w:rsid w:val="00087A11"/>
    <w:rsid w:val="00090616"/>
    <w:rsid w:val="00090FB5"/>
    <w:rsid w:val="000920AD"/>
    <w:rsid w:val="00092D92"/>
    <w:rsid w:val="00093BB7"/>
    <w:rsid w:val="0009617E"/>
    <w:rsid w:val="00097B1E"/>
    <w:rsid w:val="000A0777"/>
    <w:rsid w:val="000A3C64"/>
    <w:rsid w:val="000A4380"/>
    <w:rsid w:val="000A4977"/>
    <w:rsid w:val="000A4A6F"/>
    <w:rsid w:val="000A5A13"/>
    <w:rsid w:val="000B72C7"/>
    <w:rsid w:val="000B7A96"/>
    <w:rsid w:val="000C0B09"/>
    <w:rsid w:val="000C503B"/>
    <w:rsid w:val="000C5DD3"/>
    <w:rsid w:val="000C64FB"/>
    <w:rsid w:val="000C7153"/>
    <w:rsid w:val="000D6B83"/>
    <w:rsid w:val="000E0103"/>
    <w:rsid w:val="000E0507"/>
    <w:rsid w:val="000E418F"/>
    <w:rsid w:val="000F1156"/>
    <w:rsid w:val="000F1DDC"/>
    <w:rsid w:val="000F2A8D"/>
    <w:rsid w:val="000F2BA9"/>
    <w:rsid w:val="000F41BD"/>
    <w:rsid w:val="000F661D"/>
    <w:rsid w:val="000F763C"/>
    <w:rsid w:val="00100360"/>
    <w:rsid w:val="00101AF6"/>
    <w:rsid w:val="00104477"/>
    <w:rsid w:val="001067C1"/>
    <w:rsid w:val="00107A41"/>
    <w:rsid w:val="00114BE8"/>
    <w:rsid w:val="001151CD"/>
    <w:rsid w:val="00120FE9"/>
    <w:rsid w:val="001211D8"/>
    <w:rsid w:val="00122D7D"/>
    <w:rsid w:val="00123BC5"/>
    <w:rsid w:val="00124658"/>
    <w:rsid w:val="00127BEE"/>
    <w:rsid w:val="00127E60"/>
    <w:rsid w:val="00130633"/>
    <w:rsid w:val="00131E5C"/>
    <w:rsid w:val="00141A27"/>
    <w:rsid w:val="00141A74"/>
    <w:rsid w:val="001440C7"/>
    <w:rsid w:val="00145DDC"/>
    <w:rsid w:val="00151DD7"/>
    <w:rsid w:val="0015251D"/>
    <w:rsid w:val="00153AA6"/>
    <w:rsid w:val="00156077"/>
    <w:rsid w:val="001570B8"/>
    <w:rsid w:val="00160D37"/>
    <w:rsid w:val="0016150B"/>
    <w:rsid w:val="00161775"/>
    <w:rsid w:val="0016334E"/>
    <w:rsid w:val="00163A84"/>
    <w:rsid w:val="00167852"/>
    <w:rsid w:val="00167C25"/>
    <w:rsid w:val="001725A5"/>
    <w:rsid w:val="0017420E"/>
    <w:rsid w:val="00174C80"/>
    <w:rsid w:val="0017651A"/>
    <w:rsid w:val="0018050F"/>
    <w:rsid w:val="00181665"/>
    <w:rsid w:val="0018478B"/>
    <w:rsid w:val="001858E2"/>
    <w:rsid w:val="00185DEC"/>
    <w:rsid w:val="001901FE"/>
    <w:rsid w:val="00190544"/>
    <w:rsid w:val="00190B09"/>
    <w:rsid w:val="0019287B"/>
    <w:rsid w:val="001928A5"/>
    <w:rsid w:val="001A0A38"/>
    <w:rsid w:val="001A0AA2"/>
    <w:rsid w:val="001A1CDD"/>
    <w:rsid w:val="001A2FC3"/>
    <w:rsid w:val="001A3249"/>
    <w:rsid w:val="001A4E95"/>
    <w:rsid w:val="001A69A9"/>
    <w:rsid w:val="001A7E57"/>
    <w:rsid w:val="001B0630"/>
    <w:rsid w:val="001B0C2A"/>
    <w:rsid w:val="001B2E55"/>
    <w:rsid w:val="001B4312"/>
    <w:rsid w:val="001B55B3"/>
    <w:rsid w:val="001B67BD"/>
    <w:rsid w:val="001B723B"/>
    <w:rsid w:val="001C1827"/>
    <w:rsid w:val="001C617B"/>
    <w:rsid w:val="001C7E42"/>
    <w:rsid w:val="001C7F83"/>
    <w:rsid w:val="001D1F43"/>
    <w:rsid w:val="001D3AE3"/>
    <w:rsid w:val="001D4555"/>
    <w:rsid w:val="001D47CE"/>
    <w:rsid w:val="001D4C14"/>
    <w:rsid w:val="001D525E"/>
    <w:rsid w:val="001D705D"/>
    <w:rsid w:val="001D7D28"/>
    <w:rsid w:val="001E1AEA"/>
    <w:rsid w:val="001E32F4"/>
    <w:rsid w:val="001E3384"/>
    <w:rsid w:val="001F0C9E"/>
    <w:rsid w:val="001F1AFF"/>
    <w:rsid w:val="001F3012"/>
    <w:rsid w:val="001F60CB"/>
    <w:rsid w:val="00200079"/>
    <w:rsid w:val="002000D8"/>
    <w:rsid w:val="002025D9"/>
    <w:rsid w:val="0020368B"/>
    <w:rsid w:val="00203EB1"/>
    <w:rsid w:val="00206E03"/>
    <w:rsid w:val="002108B6"/>
    <w:rsid w:val="00223E66"/>
    <w:rsid w:val="00226980"/>
    <w:rsid w:val="00227340"/>
    <w:rsid w:val="0024067B"/>
    <w:rsid w:val="00241212"/>
    <w:rsid w:val="0024264E"/>
    <w:rsid w:val="0024317A"/>
    <w:rsid w:val="00245BAA"/>
    <w:rsid w:val="002512E0"/>
    <w:rsid w:val="002528AE"/>
    <w:rsid w:val="0025394C"/>
    <w:rsid w:val="00257A19"/>
    <w:rsid w:val="00257C77"/>
    <w:rsid w:val="002610FA"/>
    <w:rsid w:val="00270067"/>
    <w:rsid w:val="0027288F"/>
    <w:rsid w:val="00272BB7"/>
    <w:rsid w:val="00280322"/>
    <w:rsid w:val="00280B68"/>
    <w:rsid w:val="00281590"/>
    <w:rsid w:val="002852C7"/>
    <w:rsid w:val="00286542"/>
    <w:rsid w:val="00291BD1"/>
    <w:rsid w:val="00292336"/>
    <w:rsid w:val="002923D5"/>
    <w:rsid w:val="00294F4F"/>
    <w:rsid w:val="002A4A8E"/>
    <w:rsid w:val="002A5B32"/>
    <w:rsid w:val="002A5BD2"/>
    <w:rsid w:val="002A6DD4"/>
    <w:rsid w:val="002A6FA9"/>
    <w:rsid w:val="002A7AF9"/>
    <w:rsid w:val="002B032C"/>
    <w:rsid w:val="002B0CF5"/>
    <w:rsid w:val="002B4E95"/>
    <w:rsid w:val="002C0C2D"/>
    <w:rsid w:val="002C2F98"/>
    <w:rsid w:val="002C3F19"/>
    <w:rsid w:val="002D1001"/>
    <w:rsid w:val="002D7E05"/>
    <w:rsid w:val="002E0F5E"/>
    <w:rsid w:val="002E10C9"/>
    <w:rsid w:val="002E2B35"/>
    <w:rsid w:val="002E361F"/>
    <w:rsid w:val="002E3AE7"/>
    <w:rsid w:val="002E6200"/>
    <w:rsid w:val="002E7CD8"/>
    <w:rsid w:val="002F22D1"/>
    <w:rsid w:val="002F7D04"/>
    <w:rsid w:val="00303373"/>
    <w:rsid w:val="00303DC8"/>
    <w:rsid w:val="003053F4"/>
    <w:rsid w:val="00315B57"/>
    <w:rsid w:val="00316294"/>
    <w:rsid w:val="00316CCA"/>
    <w:rsid w:val="00320BA3"/>
    <w:rsid w:val="0032125F"/>
    <w:rsid w:val="00324BB8"/>
    <w:rsid w:val="00330F7F"/>
    <w:rsid w:val="00333016"/>
    <w:rsid w:val="003408AC"/>
    <w:rsid w:val="003408DF"/>
    <w:rsid w:val="00343DFB"/>
    <w:rsid w:val="003444A2"/>
    <w:rsid w:val="00351C17"/>
    <w:rsid w:val="00352B72"/>
    <w:rsid w:val="00353351"/>
    <w:rsid w:val="00353DD5"/>
    <w:rsid w:val="00354960"/>
    <w:rsid w:val="0035685D"/>
    <w:rsid w:val="0036267A"/>
    <w:rsid w:val="00365786"/>
    <w:rsid w:val="0036584C"/>
    <w:rsid w:val="00367635"/>
    <w:rsid w:val="00367903"/>
    <w:rsid w:val="00371B1F"/>
    <w:rsid w:val="0037482B"/>
    <w:rsid w:val="0037646F"/>
    <w:rsid w:val="00387BB4"/>
    <w:rsid w:val="00390428"/>
    <w:rsid w:val="003919D5"/>
    <w:rsid w:val="00395254"/>
    <w:rsid w:val="003A06B7"/>
    <w:rsid w:val="003A4498"/>
    <w:rsid w:val="003A50E6"/>
    <w:rsid w:val="003A5304"/>
    <w:rsid w:val="003B0E28"/>
    <w:rsid w:val="003B1C88"/>
    <w:rsid w:val="003B761C"/>
    <w:rsid w:val="003C0D14"/>
    <w:rsid w:val="003C67AE"/>
    <w:rsid w:val="003C6853"/>
    <w:rsid w:val="003C68C2"/>
    <w:rsid w:val="003C6F68"/>
    <w:rsid w:val="003D0B6E"/>
    <w:rsid w:val="003D1AAF"/>
    <w:rsid w:val="003D2212"/>
    <w:rsid w:val="003D5525"/>
    <w:rsid w:val="003D5C92"/>
    <w:rsid w:val="003D7BEE"/>
    <w:rsid w:val="003E0922"/>
    <w:rsid w:val="003E1E89"/>
    <w:rsid w:val="003E229B"/>
    <w:rsid w:val="003E48C2"/>
    <w:rsid w:val="003E4D71"/>
    <w:rsid w:val="003E6DB2"/>
    <w:rsid w:val="003F604B"/>
    <w:rsid w:val="003F6BDC"/>
    <w:rsid w:val="0040216A"/>
    <w:rsid w:val="00403139"/>
    <w:rsid w:val="00406F5A"/>
    <w:rsid w:val="00411F5C"/>
    <w:rsid w:val="004146A9"/>
    <w:rsid w:val="00415197"/>
    <w:rsid w:val="004237E9"/>
    <w:rsid w:val="00423E24"/>
    <w:rsid w:val="00423FAA"/>
    <w:rsid w:val="00424A76"/>
    <w:rsid w:val="00424B5F"/>
    <w:rsid w:val="00424C1F"/>
    <w:rsid w:val="00425E83"/>
    <w:rsid w:val="0042673D"/>
    <w:rsid w:val="004314D7"/>
    <w:rsid w:val="0043307B"/>
    <w:rsid w:val="00434EC4"/>
    <w:rsid w:val="00435BD9"/>
    <w:rsid w:val="0044086D"/>
    <w:rsid w:val="00443B36"/>
    <w:rsid w:val="00443E82"/>
    <w:rsid w:val="00444173"/>
    <w:rsid w:val="00446B22"/>
    <w:rsid w:val="00451BB2"/>
    <w:rsid w:val="00452057"/>
    <w:rsid w:val="00452CE1"/>
    <w:rsid w:val="0045411F"/>
    <w:rsid w:val="004555C4"/>
    <w:rsid w:val="00457072"/>
    <w:rsid w:val="0046106F"/>
    <w:rsid w:val="0046318F"/>
    <w:rsid w:val="004676D5"/>
    <w:rsid w:val="00467D49"/>
    <w:rsid w:val="00467D51"/>
    <w:rsid w:val="00471B43"/>
    <w:rsid w:val="0047339D"/>
    <w:rsid w:val="00474475"/>
    <w:rsid w:val="00475659"/>
    <w:rsid w:val="00475EDC"/>
    <w:rsid w:val="00480A72"/>
    <w:rsid w:val="00480C71"/>
    <w:rsid w:val="00481669"/>
    <w:rsid w:val="00482043"/>
    <w:rsid w:val="00482951"/>
    <w:rsid w:val="00483510"/>
    <w:rsid w:val="00486D91"/>
    <w:rsid w:val="00487083"/>
    <w:rsid w:val="00487D2B"/>
    <w:rsid w:val="00490DA1"/>
    <w:rsid w:val="0049142F"/>
    <w:rsid w:val="00493BA6"/>
    <w:rsid w:val="004941D4"/>
    <w:rsid w:val="004951BB"/>
    <w:rsid w:val="004A0977"/>
    <w:rsid w:val="004A2D9A"/>
    <w:rsid w:val="004A7014"/>
    <w:rsid w:val="004A7764"/>
    <w:rsid w:val="004B1E33"/>
    <w:rsid w:val="004B2165"/>
    <w:rsid w:val="004B354D"/>
    <w:rsid w:val="004C346A"/>
    <w:rsid w:val="004C498A"/>
    <w:rsid w:val="004C6DF7"/>
    <w:rsid w:val="004D088C"/>
    <w:rsid w:val="004D0D65"/>
    <w:rsid w:val="004D3684"/>
    <w:rsid w:val="004D675B"/>
    <w:rsid w:val="004E0231"/>
    <w:rsid w:val="004E6448"/>
    <w:rsid w:val="004E6CC3"/>
    <w:rsid w:val="004E6DA5"/>
    <w:rsid w:val="004F0FBE"/>
    <w:rsid w:val="004F2520"/>
    <w:rsid w:val="004F35F1"/>
    <w:rsid w:val="004F40AD"/>
    <w:rsid w:val="004F5F9D"/>
    <w:rsid w:val="0050082F"/>
    <w:rsid w:val="00504D29"/>
    <w:rsid w:val="005050E4"/>
    <w:rsid w:val="005055B9"/>
    <w:rsid w:val="00505A9C"/>
    <w:rsid w:val="00511749"/>
    <w:rsid w:val="0051398D"/>
    <w:rsid w:val="005146D5"/>
    <w:rsid w:val="005175A7"/>
    <w:rsid w:val="0052072C"/>
    <w:rsid w:val="0052073F"/>
    <w:rsid w:val="005228CE"/>
    <w:rsid w:val="00522F0A"/>
    <w:rsid w:val="0052516B"/>
    <w:rsid w:val="00525AD9"/>
    <w:rsid w:val="005269A3"/>
    <w:rsid w:val="00530D76"/>
    <w:rsid w:val="00532CF8"/>
    <w:rsid w:val="005362B0"/>
    <w:rsid w:val="005431EF"/>
    <w:rsid w:val="005444CE"/>
    <w:rsid w:val="00544FF7"/>
    <w:rsid w:val="00547E63"/>
    <w:rsid w:val="00554036"/>
    <w:rsid w:val="005561FC"/>
    <w:rsid w:val="005565A7"/>
    <w:rsid w:val="00562B5F"/>
    <w:rsid w:val="00565505"/>
    <w:rsid w:val="005665B6"/>
    <w:rsid w:val="00571FD6"/>
    <w:rsid w:val="00574B19"/>
    <w:rsid w:val="00576202"/>
    <w:rsid w:val="00580238"/>
    <w:rsid w:val="00580F78"/>
    <w:rsid w:val="00585714"/>
    <w:rsid w:val="00585FDE"/>
    <w:rsid w:val="0059004A"/>
    <w:rsid w:val="0059108D"/>
    <w:rsid w:val="00592B1B"/>
    <w:rsid w:val="00594D6F"/>
    <w:rsid w:val="005A6FC6"/>
    <w:rsid w:val="005B1686"/>
    <w:rsid w:val="005B42CD"/>
    <w:rsid w:val="005B46D2"/>
    <w:rsid w:val="005B4A7A"/>
    <w:rsid w:val="005B62FB"/>
    <w:rsid w:val="005C0C3D"/>
    <w:rsid w:val="005C3724"/>
    <w:rsid w:val="005C4BEA"/>
    <w:rsid w:val="005C7798"/>
    <w:rsid w:val="005C7953"/>
    <w:rsid w:val="005D0018"/>
    <w:rsid w:val="005D37E2"/>
    <w:rsid w:val="005D4FDB"/>
    <w:rsid w:val="005D67B6"/>
    <w:rsid w:val="005D7D67"/>
    <w:rsid w:val="005E0D71"/>
    <w:rsid w:val="005E5800"/>
    <w:rsid w:val="005E5F8C"/>
    <w:rsid w:val="005E5F8F"/>
    <w:rsid w:val="005E6881"/>
    <w:rsid w:val="005F002C"/>
    <w:rsid w:val="005F4395"/>
    <w:rsid w:val="005F499A"/>
    <w:rsid w:val="005F5455"/>
    <w:rsid w:val="005F5CFA"/>
    <w:rsid w:val="006024C0"/>
    <w:rsid w:val="006029C2"/>
    <w:rsid w:val="00606BFD"/>
    <w:rsid w:val="00610A13"/>
    <w:rsid w:val="006128F9"/>
    <w:rsid w:val="00635760"/>
    <w:rsid w:val="00636677"/>
    <w:rsid w:val="00637DAE"/>
    <w:rsid w:val="006409A0"/>
    <w:rsid w:val="00641965"/>
    <w:rsid w:val="006446D8"/>
    <w:rsid w:val="00645499"/>
    <w:rsid w:val="006470C0"/>
    <w:rsid w:val="00647CAE"/>
    <w:rsid w:val="00650427"/>
    <w:rsid w:val="00653357"/>
    <w:rsid w:val="0065443E"/>
    <w:rsid w:val="00655EE0"/>
    <w:rsid w:val="00661C1E"/>
    <w:rsid w:val="0066300A"/>
    <w:rsid w:val="00663DAC"/>
    <w:rsid w:val="00664B74"/>
    <w:rsid w:val="00664C20"/>
    <w:rsid w:val="00665A7D"/>
    <w:rsid w:val="00665F10"/>
    <w:rsid w:val="00666006"/>
    <w:rsid w:val="006670EE"/>
    <w:rsid w:val="006726FE"/>
    <w:rsid w:val="00673C8C"/>
    <w:rsid w:val="006752BE"/>
    <w:rsid w:val="006807EC"/>
    <w:rsid w:val="00680B5F"/>
    <w:rsid w:val="006845AF"/>
    <w:rsid w:val="00685926"/>
    <w:rsid w:val="006866FC"/>
    <w:rsid w:val="00687B18"/>
    <w:rsid w:val="00692BD0"/>
    <w:rsid w:val="00694B19"/>
    <w:rsid w:val="00695A5A"/>
    <w:rsid w:val="0069691E"/>
    <w:rsid w:val="006972F7"/>
    <w:rsid w:val="006978F3"/>
    <w:rsid w:val="006A0A4C"/>
    <w:rsid w:val="006A31A5"/>
    <w:rsid w:val="006A68F2"/>
    <w:rsid w:val="006B2070"/>
    <w:rsid w:val="006B3295"/>
    <w:rsid w:val="006B6C86"/>
    <w:rsid w:val="006B6D63"/>
    <w:rsid w:val="006C0DF4"/>
    <w:rsid w:val="006C3037"/>
    <w:rsid w:val="006C35B3"/>
    <w:rsid w:val="006C3E0C"/>
    <w:rsid w:val="006D12BC"/>
    <w:rsid w:val="006D18D9"/>
    <w:rsid w:val="006D5DCE"/>
    <w:rsid w:val="006D7B11"/>
    <w:rsid w:val="006E2643"/>
    <w:rsid w:val="006E298D"/>
    <w:rsid w:val="006E380B"/>
    <w:rsid w:val="006E3C68"/>
    <w:rsid w:val="006E4651"/>
    <w:rsid w:val="006E4F93"/>
    <w:rsid w:val="006E7ED5"/>
    <w:rsid w:val="006F0041"/>
    <w:rsid w:val="006F0668"/>
    <w:rsid w:val="006F0C4B"/>
    <w:rsid w:val="006F3F04"/>
    <w:rsid w:val="006F6115"/>
    <w:rsid w:val="00700AE0"/>
    <w:rsid w:val="00704F8A"/>
    <w:rsid w:val="007112EC"/>
    <w:rsid w:val="00711CBC"/>
    <w:rsid w:val="00712394"/>
    <w:rsid w:val="007124B6"/>
    <w:rsid w:val="00714271"/>
    <w:rsid w:val="007148F0"/>
    <w:rsid w:val="00723FA5"/>
    <w:rsid w:val="0072447D"/>
    <w:rsid w:val="00726796"/>
    <w:rsid w:val="00727BA6"/>
    <w:rsid w:val="00727F14"/>
    <w:rsid w:val="00732E74"/>
    <w:rsid w:val="00740C0E"/>
    <w:rsid w:val="0074163E"/>
    <w:rsid w:val="00744C89"/>
    <w:rsid w:val="00745143"/>
    <w:rsid w:val="00750962"/>
    <w:rsid w:val="00754FBA"/>
    <w:rsid w:val="007575B6"/>
    <w:rsid w:val="00762952"/>
    <w:rsid w:val="00770309"/>
    <w:rsid w:val="00771ED9"/>
    <w:rsid w:val="00772312"/>
    <w:rsid w:val="00775136"/>
    <w:rsid w:val="00776B59"/>
    <w:rsid w:val="00785AD5"/>
    <w:rsid w:val="00786608"/>
    <w:rsid w:val="007901F5"/>
    <w:rsid w:val="007924DB"/>
    <w:rsid w:val="00793291"/>
    <w:rsid w:val="007933DE"/>
    <w:rsid w:val="007957E2"/>
    <w:rsid w:val="0079651E"/>
    <w:rsid w:val="0079679F"/>
    <w:rsid w:val="00797A81"/>
    <w:rsid w:val="007A063A"/>
    <w:rsid w:val="007A1F40"/>
    <w:rsid w:val="007A2DFF"/>
    <w:rsid w:val="007A3E27"/>
    <w:rsid w:val="007A44E4"/>
    <w:rsid w:val="007A4B44"/>
    <w:rsid w:val="007A546E"/>
    <w:rsid w:val="007A6253"/>
    <w:rsid w:val="007A65B9"/>
    <w:rsid w:val="007B4D5E"/>
    <w:rsid w:val="007B5537"/>
    <w:rsid w:val="007B5861"/>
    <w:rsid w:val="007B61E5"/>
    <w:rsid w:val="007C0906"/>
    <w:rsid w:val="007C1EAE"/>
    <w:rsid w:val="007C2C87"/>
    <w:rsid w:val="007C35D2"/>
    <w:rsid w:val="007D274D"/>
    <w:rsid w:val="007D4196"/>
    <w:rsid w:val="007D4BC2"/>
    <w:rsid w:val="007D602E"/>
    <w:rsid w:val="007E0AD4"/>
    <w:rsid w:val="007E29EB"/>
    <w:rsid w:val="007E6299"/>
    <w:rsid w:val="007F7202"/>
    <w:rsid w:val="00804969"/>
    <w:rsid w:val="00804BD8"/>
    <w:rsid w:val="008073E6"/>
    <w:rsid w:val="00807CDD"/>
    <w:rsid w:val="008119A0"/>
    <w:rsid w:val="00812F64"/>
    <w:rsid w:val="00813B60"/>
    <w:rsid w:val="00816E4B"/>
    <w:rsid w:val="008175BA"/>
    <w:rsid w:val="0082033A"/>
    <w:rsid w:val="00821F78"/>
    <w:rsid w:val="0082243D"/>
    <w:rsid w:val="0082431C"/>
    <w:rsid w:val="008245DB"/>
    <w:rsid w:val="00825106"/>
    <w:rsid w:val="00826FB6"/>
    <w:rsid w:val="00833841"/>
    <w:rsid w:val="00834451"/>
    <w:rsid w:val="0084038B"/>
    <w:rsid w:val="00843311"/>
    <w:rsid w:val="0084363C"/>
    <w:rsid w:val="008448E7"/>
    <w:rsid w:val="008515C0"/>
    <w:rsid w:val="00851C7F"/>
    <w:rsid w:val="008576F3"/>
    <w:rsid w:val="00867384"/>
    <w:rsid w:val="00867E5D"/>
    <w:rsid w:val="0087451E"/>
    <w:rsid w:val="00875071"/>
    <w:rsid w:val="008769EA"/>
    <w:rsid w:val="00876CE5"/>
    <w:rsid w:val="00877906"/>
    <w:rsid w:val="00880778"/>
    <w:rsid w:val="00880F86"/>
    <w:rsid w:val="00892A4D"/>
    <w:rsid w:val="008930A2"/>
    <w:rsid w:val="00894385"/>
    <w:rsid w:val="00895208"/>
    <w:rsid w:val="008962A2"/>
    <w:rsid w:val="00896394"/>
    <w:rsid w:val="008A079F"/>
    <w:rsid w:val="008A19B8"/>
    <w:rsid w:val="008A65CD"/>
    <w:rsid w:val="008A70ED"/>
    <w:rsid w:val="008A7D36"/>
    <w:rsid w:val="008B04F1"/>
    <w:rsid w:val="008B1D7D"/>
    <w:rsid w:val="008B5E58"/>
    <w:rsid w:val="008C3EFF"/>
    <w:rsid w:val="008D07EE"/>
    <w:rsid w:val="008D3DDF"/>
    <w:rsid w:val="008D67F9"/>
    <w:rsid w:val="008D6893"/>
    <w:rsid w:val="008D68C1"/>
    <w:rsid w:val="008D791C"/>
    <w:rsid w:val="008E17B8"/>
    <w:rsid w:val="008E2A68"/>
    <w:rsid w:val="008E3D29"/>
    <w:rsid w:val="008F05D3"/>
    <w:rsid w:val="008F27DA"/>
    <w:rsid w:val="008F6053"/>
    <w:rsid w:val="008F68A2"/>
    <w:rsid w:val="008F6EF5"/>
    <w:rsid w:val="008F6F84"/>
    <w:rsid w:val="008F749B"/>
    <w:rsid w:val="00900F7F"/>
    <w:rsid w:val="0090488C"/>
    <w:rsid w:val="00910B67"/>
    <w:rsid w:val="00910C69"/>
    <w:rsid w:val="00912B46"/>
    <w:rsid w:val="009133D8"/>
    <w:rsid w:val="00914226"/>
    <w:rsid w:val="00916D34"/>
    <w:rsid w:val="00916D3E"/>
    <w:rsid w:val="00920664"/>
    <w:rsid w:val="009221F6"/>
    <w:rsid w:val="0092400B"/>
    <w:rsid w:val="00924E3F"/>
    <w:rsid w:val="0092584E"/>
    <w:rsid w:val="00926CF9"/>
    <w:rsid w:val="009328FE"/>
    <w:rsid w:val="00942328"/>
    <w:rsid w:val="009430B8"/>
    <w:rsid w:val="0094364A"/>
    <w:rsid w:val="009442D4"/>
    <w:rsid w:val="00944E2B"/>
    <w:rsid w:val="00945E15"/>
    <w:rsid w:val="00947A55"/>
    <w:rsid w:val="009508F5"/>
    <w:rsid w:val="009541C7"/>
    <w:rsid w:val="009555D5"/>
    <w:rsid w:val="00962B86"/>
    <w:rsid w:val="00966B60"/>
    <w:rsid w:val="00970B29"/>
    <w:rsid w:val="00972EA4"/>
    <w:rsid w:val="0097372F"/>
    <w:rsid w:val="009748E3"/>
    <w:rsid w:val="00983760"/>
    <w:rsid w:val="0098651F"/>
    <w:rsid w:val="00990D0B"/>
    <w:rsid w:val="00991B16"/>
    <w:rsid w:val="00993876"/>
    <w:rsid w:val="00994AC6"/>
    <w:rsid w:val="00994F9A"/>
    <w:rsid w:val="00995EC8"/>
    <w:rsid w:val="00997ADA"/>
    <w:rsid w:val="009A12FA"/>
    <w:rsid w:val="009A1A0C"/>
    <w:rsid w:val="009A1F7E"/>
    <w:rsid w:val="009A4D73"/>
    <w:rsid w:val="009C52AA"/>
    <w:rsid w:val="009C7473"/>
    <w:rsid w:val="009C7B86"/>
    <w:rsid w:val="009D15EF"/>
    <w:rsid w:val="009E0235"/>
    <w:rsid w:val="009E1126"/>
    <w:rsid w:val="009E3BE2"/>
    <w:rsid w:val="009E536B"/>
    <w:rsid w:val="009E6248"/>
    <w:rsid w:val="009E6D7E"/>
    <w:rsid w:val="009F00AA"/>
    <w:rsid w:val="009F6160"/>
    <w:rsid w:val="009F755F"/>
    <w:rsid w:val="00A017C3"/>
    <w:rsid w:val="00A02639"/>
    <w:rsid w:val="00A046B2"/>
    <w:rsid w:val="00A05A11"/>
    <w:rsid w:val="00A06615"/>
    <w:rsid w:val="00A13122"/>
    <w:rsid w:val="00A13B3C"/>
    <w:rsid w:val="00A16106"/>
    <w:rsid w:val="00A16DBE"/>
    <w:rsid w:val="00A22E4D"/>
    <w:rsid w:val="00A24F02"/>
    <w:rsid w:val="00A265FC"/>
    <w:rsid w:val="00A26CCA"/>
    <w:rsid w:val="00A3612C"/>
    <w:rsid w:val="00A37F11"/>
    <w:rsid w:val="00A421EC"/>
    <w:rsid w:val="00A42395"/>
    <w:rsid w:val="00A42DA0"/>
    <w:rsid w:val="00A43C62"/>
    <w:rsid w:val="00A44ADD"/>
    <w:rsid w:val="00A45559"/>
    <w:rsid w:val="00A4589F"/>
    <w:rsid w:val="00A45FE1"/>
    <w:rsid w:val="00A4734E"/>
    <w:rsid w:val="00A51658"/>
    <w:rsid w:val="00A5235E"/>
    <w:rsid w:val="00A533B6"/>
    <w:rsid w:val="00A53A53"/>
    <w:rsid w:val="00A544B2"/>
    <w:rsid w:val="00A54EF0"/>
    <w:rsid w:val="00A6105C"/>
    <w:rsid w:val="00A64931"/>
    <w:rsid w:val="00A64C1D"/>
    <w:rsid w:val="00A65D13"/>
    <w:rsid w:val="00A661F1"/>
    <w:rsid w:val="00A67A7E"/>
    <w:rsid w:val="00A711B8"/>
    <w:rsid w:val="00A716C7"/>
    <w:rsid w:val="00A73A31"/>
    <w:rsid w:val="00A740F9"/>
    <w:rsid w:val="00A77299"/>
    <w:rsid w:val="00A774CC"/>
    <w:rsid w:val="00A83A93"/>
    <w:rsid w:val="00A85BDF"/>
    <w:rsid w:val="00A90612"/>
    <w:rsid w:val="00A91E56"/>
    <w:rsid w:val="00A9288D"/>
    <w:rsid w:val="00A942DA"/>
    <w:rsid w:val="00A94546"/>
    <w:rsid w:val="00A95824"/>
    <w:rsid w:val="00A96058"/>
    <w:rsid w:val="00A965A1"/>
    <w:rsid w:val="00A97651"/>
    <w:rsid w:val="00A97B56"/>
    <w:rsid w:val="00AA0175"/>
    <w:rsid w:val="00AA1D1F"/>
    <w:rsid w:val="00AA7230"/>
    <w:rsid w:val="00AA72ED"/>
    <w:rsid w:val="00AB627C"/>
    <w:rsid w:val="00AB7188"/>
    <w:rsid w:val="00AC4177"/>
    <w:rsid w:val="00AC578A"/>
    <w:rsid w:val="00AC722B"/>
    <w:rsid w:val="00AD323A"/>
    <w:rsid w:val="00AD3E4E"/>
    <w:rsid w:val="00AD57C8"/>
    <w:rsid w:val="00AD5CA3"/>
    <w:rsid w:val="00AD5D01"/>
    <w:rsid w:val="00AE121E"/>
    <w:rsid w:val="00AE2A9A"/>
    <w:rsid w:val="00AE2C80"/>
    <w:rsid w:val="00AE3F2B"/>
    <w:rsid w:val="00AE5EFD"/>
    <w:rsid w:val="00AE6A17"/>
    <w:rsid w:val="00AE7F83"/>
    <w:rsid w:val="00AF7D51"/>
    <w:rsid w:val="00B00282"/>
    <w:rsid w:val="00B003D4"/>
    <w:rsid w:val="00B01475"/>
    <w:rsid w:val="00B03CF5"/>
    <w:rsid w:val="00B1303D"/>
    <w:rsid w:val="00B13927"/>
    <w:rsid w:val="00B15F22"/>
    <w:rsid w:val="00B16201"/>
    <w:rsid w:val="00B167CC"/>
    <w:rsid w:val="00B17EC6"/>
    <w:rsid w:val="00B2036E"/>
    <w:rsid w:val="00B22AA9"/>
    <w:rsid w:val="00B26F01"/>
    <w:rsid w:val="00B27443"/>
    <w:rsid w:val="00B32D68"/>
    <w:rsid w:val="00B33AC1"/>
    <w:rsid w:val="00B35F9B"/>
    <w:rsid w:val="00B44609"/>
    <w:rsid w:val="00B45B68"/>
    <w:rsid w:val="00B51A5B"/>
    <w:rsid w:val="00B51F9E"/>
    <w:rsid w:val="00B57D28"/>
    <w:rsid w:val="00B607A9"/>
    <w:rsid w:val="00B6525A"/>
    <w:rsid w:val="00B67E7B"/>
    <w:rsid w:val="00B77976"/>
    <w:rsid w:val="00B80E7F"/>
    <w:rsid w:val="00B815C0"/>
    <w:rsid w:val="00B818A7"/>
    <w:rsid w:val="00B905F6"/>
    <w:rsid w:val="00B9215A"/>
    <w:rsid w:val="00B93E5A"/>
    <w:rsid w:val="00B967CB"/>
    <w:rsid w:val="00B97AA1"/>
    <w:rsid w:val="00BA0D8F"/>
    <w:rsid w:val="00BA0FF7"/>
    <w:rsid w:val="00BA326A"/>
    <w:rsid w:val="00BA5538"/>
    <w:rsid w:val="00BA5AD6"/>
    <w:rsid w:val="00BB26B6"/>
    <w:rsid w:val="00BB3BCE"/>
    <w:rsid w:val="00BB49FB"/>
    <w:rsid w:val="00BC0E18"/>
    <w:rsid w:val="00BC2024"/>
    <w:rsid w:val="00BC29D8"/>
    <w:rsid w:val="00BC39F1"/>
    <w:rsid w:val="00BC7A89"/>
    <w:rsid w:val="00BD3AD4"/>
    <w:rsid w:val="00BD78EA"/>
    <w:rsid w:val="00BE2EB6"/>
    <w:rsid w:val="00BE5DAA"/>
    <w:rsid w:val="00BE79B2"/>
    <w:rsid w:val="00BF588D"/>
    <w:rsid w:val="00BF6D18"/>
    <w:rsid w:val="00C032A0"/>
    <w:rsid w:val="00C063F0"/>
    <w:rsid w:val="00C15D9E"/>
    <w:rsid w:val="00C17C9E"/>
    <w:rsid w:val="00C2015E"/>
    <w:rsid w:val="00C20859"/>
    <w:rsid w:val="00C229A8"/>
    <w:rsid w:val="00C240D7"/>
    <w:rsid w:val="00C24ED7"/>
    <w:rsid w:val="00C30351"/>
    <w:rsid w:val="00C30D3C"/>
    <w:rsid w:val="00C33243"/>
    <w:rsid w:val="00C333AA"/>
    <w:rsid w:val="00C34EC9"/>
    <w:rsid w:val="00C40639"/>
    <w:rsid w:val="00C42E30"/>
    <w:rsid w:val="00C539CC"/>
    <w:rsid w:val="00C5596D"/>
    <w:rsid w:val="00C572CE"/>
    <w:rsid w:val="00C60477"/>
    <w:rsid w:val="00C63D39"/>
    <w:rsid w:val="00C646E4"/>
    <w:rsid w:val="00C65BDE"/>
    <w:rsid w:val="00C702D0"/>
    <w:rsid w:val="00C76785"/>
    <w:rsid w:val="00C77F43"/>
    <w:rsid w:val="00C80E0E"/>
    <w:rsid w:val="00C83D14"/>
    <w:rsid w:val="00C86F44"/>
    <w:rsid w:val="00C90BE7"/>
    <w:rsid w:val="00C91184"/>
    <w:rsid w:val="00C91C77"/>
    <w:rsid w:val="00C9226B"/>
    <w:rsid w:val="00C94080"/>
    <w:rsid w:val="00C94A95"/>
    <w:rsid w:val="00C95679"/>
    <w:rsid w:val="00C96287"/>
    <w:rsid w:val="00CA4CDF"/>
    <w:rsid w:val="00CA7B5E"/>
    <w:rsid w:val="00CB2AFF"/>
    <w:rsid w:val="00CB3113"/>
    <w:rsid w:val="00CB5425"/>
    <w:rsid w:val="00CC03FC"/>
    <w:rsid w:val="00CC46CD"/>
    <w:rsid w:val="00CC4993"/>
    <w:rsid w:val="00CD3DBB"/>
    <w:rsid w:val="00CD48D1"/>
    <w:rsid w:val="00CD5DED"/>
    <w:rsid w:val="00CD7368"/>
    <w:rsid w:val="00CE1647"/>
    <w:rsid w:val="00CE5987"/>
    <w:rsid w:val="00CE65BB"/>
    <w:rsid w:val="00CE66BA"/>
    <w:rsid w:val="00CE764A"/>
    <w:rsid w:val="00CF0E27"/>
    <w:rsid w:val="00CF1894"/>
    <w:rsid w:val="00CF58ED"/>
    <w:rsid w:val="00CF5F1D"/>
    <w:rsid w:val="00CF61E6"/>
    <w:rsid w:val="00D005C7"/>
    <w:rsid w:val="00D006A8"/>
    <w:rsid w:val="00D00790"/>
    <w:rsid w:val="00D00C7E"/>
    <w:rsid w:val="00D04EEC"/>
    <w:rsid w:val="00D04F67"/>
    <w:rsid w:val="00D060A1"/>
    <w:rsid w:val="00D15C7C"/>
    <w:rsid w:val="00D21481"/>
    <w:rsid w:val="00D2166B"/>
    <w:rsid w:val="00D21677"/>
    <w:rsid w:val="00D229E2"/>
    <w:rsid w:val="00D233D0"/>
    <w:rsid w:val="00D23B80"/>
    <w:rsid w:val="00D25B3C"/>
    <w:rsid w:val="00D313AF"/>
    <w:rsid w:val="00D334F3"/>
    <w:rsid w:val="00D33C20"/>
    <w:rsid w:val="00D35236"/>
    <w:rsid w:val="00D3653F"/>
    <w:rsid w:val="00D37EF8"/>
    <w:rsid w:val="00D41E4E"/>
    <w:rsid w:val="00D4772A"/>
    <w:rsid w:val="00D5071E"/>
    <w:rsid w:val="00D50BCB"/>
    <w:rsid w:val="00D55275"/>
    <w:rsid w:val="00D6132C"/>
    <w:rsid w:val="00D6202D"/>
    <w:rsid w:val="00D63B2D"/>
    <w:rsid w:val="00D72BFD"/>
    <w:rsid w:val="00D72E2F"/>
    <w:rsid w:val="00D73E40"/>
    <w:rsid w:val="00D74782"/>
    <w:rsid w:val="00D76136"/>
    <w:rsid w:val="00D83D6C"/>
    <w:rsid w:val="00D841AC"/>
    <w:rsid w:val="00D96881"/>
    <w:rsid w:val="00D9692B"/>
    <w:rsid w:val="00D975DA"/>
    <w:rsid w:val="00DB0645"/>
    <w:rsid w:val="00DB420F"/>
    <w:rsid w:val="00DB60E8"/>
    <w:rsid w:val="00DB70F0"/>
    <w:rsid w:val="00DB7990"/>
    <w:rsid w:val="00DC040E"/>
    <w:rsid w:val="00DC0C50"/>
    <w:rsid w:val="00DC0E0F"/>
    <w:rsid w:val="00DC22E9"/>
    <w:rsid w:val="00DC394E"/>
    <w:rsid w:val="00DC725F"/>
    <w:rsid w:val="00DD1D49"/>
    <w:rsid w:val="00DD4BA3"/>
    <w:rsid w:val="00DD5E3C"/>
    <w:rsid w:val="00DD72D2"/>
    <w:rsid w:val="00DD7E0D"/>
    <w:rsid w:val="00DE3412"/>
    <w:rsid w:val="00DE36ED"/>
    <w:rsid w:val="00DE5E15"/>
    <w:rsid w:val="00DE785A"/>
    <w:rsid w:val="00DF0DEF"/>
    <w:rsid w:val="00E01F5B"/>
    <w:rsid w:val="00E10F42"/>
    <w:rsid w:val="00E14009"/>
    <w:rsid w:val="00E24AB3"/>
    <w:rsid w:val="00E307B1"/>
    <w:rsid w:val="00E31818"/>
    <w:rsid w:val="00E3647A"/>
    <w:rsid w:val="00E40574"/>
    <w:rsid w:val="00E405BF"/>
    <w:rsid w:val="00E41168"/>
    <w:rsid w:val="00E41B35"/>
    <w:rsid w:val="00E4275D"/>
    <w:rsid w:val="00E4462F"/>
    <w:rsid w:val="00E447E9"/>
    <w:rsid w:val="00E45EA0"/>
    <w:rsid w:val="00E52BD6"/>
    <w:rsid w:val="00E52CBB"/>
    <w:rsid w:val="00E54404"/>
    <w:rsid w:val="00E66E45"/>
    <w:rsid w:val="00E67418"/>
    <w:rsid w:val="00E776A0"/>
    <w:rsid w:val="00E81698"/>
    <w:rsid w:val="00E8770C"/>
    <w:rsid w:val="00E91FD1"/>
    <w:rsid w:val="00E92887"/>
    <w:rsid w:val="00E973D6"/>
    <w:rsid w:val="00E977D2"/>
    <w:rsid w:val="00EA0182"/>
    <w:rsid w:val="00EA0624"/>
    <w:rsid w:val="00EA3023"/>
    <w:rsid w:val="00EA5036"/>
    <w:rsid w:val="00EA571D"/>
    <w:rsid w:val="00EA5782"/>
    <w:rsid w:val="00EB14DB"/>
    <w:rsid w:val="00EB23DE"/>
    <w:rsid w:val="00EB503E"/>
    <w:rsid w:val="00EB5614"/>
    <w:rsid w:val="00EB6396"/>
    <w:rsid w:val="00EC05A1"/>
    <w:rsid w:val="00EC3507"/>
    <w:rsid w:val="00EC4DF0"/>
    <w:rsid w:val="00EC5CFD"/>
    <w:rsid w:val="00ED1E74"/>
    <w:rsid w:val="00ED2B5B"/>
    <w:rsid w:val="00ED4073"/>
    <w:rsid w:val="00ED434C"/>
    <w:rsid w:val="00ED6DF3"/>
    <w:rsid w:val="00EE0102"/>
    <w:rsid w:val="00EE2A78"/>
    <w:rsid w:val="00EF587A"/>
    <w:rsid w:val="00EF6C5B"/>
    <w:rsid w:val="00F01DA3"/>
    <w:rsid w:val="00F04B77"/>
    <w:rsid w:val="00F05E39"/>
    <w:rsid w:val="00F06480"/>
    <w:rsid w:val="00F07473"/>
    <w:rsid w:val="00F07BB5"/>
    <w:rsid w:val="00F11BC4"/>
    <w:rsid w:val="00F12FF5"/>
    <w:rsid w:val="00F1300E"/>
    <w:rsid w:val="00F138BE"/>
    <w:rsid w:val="00F14952"/>
    <w:rsid w:val="00F16229"/>
    <w:rsid w:val="00F20AE1"/>
    <w:rsid w:val="00F2282A"/>
    <w:rsid w:val="00F22AF5"/>
    <w:rsid w:val="00F2616A"/>
    <w:rsid w:val="00F302DE"/>
    <w:rsid w:val="00F30D14"/>
    <w:rsid w:val="00F33BC6"/>
    <w:rsid w:val="00F3684E"/>
    <w:rsid w:val="00F41B8A"/>
    <w:rsid w:val="00F439CB"/>
    <w:rsid w:val="00F454B3"/>
    <w:rsid w:val="00F4603A"/>
    <w:rsid w:val="00F47BF6"/>
    <w:rsid w:val="00F50C65"/>
    <w:rsid w:val="00F519F8"/>
    <w:rsid w:val="00F52335"/>
    <w:rsid w:val="00F52A2B"/>
    <w:rsid w:val="00F5423C"/>
    <w:rsid w:val="00F57669"/>
    <w:rsid w:val="00F606A0"/>
    <w:rsid w:val="00F63634"/>
    <w:rsid w:val="00F6597E"/>
    <w:rsid w:val="00F66EB4"/>
    <w:rsid w:val="00F72749"/>
    <w:rsid w:val="00F73D01"/>
    <w:rsid w:val="00F74CAF"/>
    <w:rsid w:val="00F76992"/>
    <w:rsid w:val="00F8237B"/>
    <w:rsid w:val="00F84DC6"/>
    <w:rsid w:val="00F85834"/>
    <w:rsid w:val="00F8632B"/>
    <w:rsid w:val="00F8775A"/>
    <w:rsid w:val="00F90A0A"/>
    <w:rsid w:val="00F93741"/>
    <w:rsid w:val="00F95169"/>
    <w:rsid w:val="00FA03BA"/>
    <w:rsid w:val="00FA1EE3"/>
    <w:rsid w:val="00FA2F65"/>
    <w:rsid w:val="00FA353F"/>
    <w:rsid w:val="00FA3749"/>
    <w:rsid w:val="00FA401D"/>
    <w:rsid w:val="00FA44E8"/>
    <w:rsid w:val="00FA5E6A"/>
    <w:rsid w:val="00FA697E"/>
    <w:rsid w:val="00FB1219"/>
    <w:rsid w:val="00FB2703"/>
    <w:rsid w:val="00FB445F"/>
    <w:rsid w:val="00FB47AF"/>
    <w:rsid w:val="00FB5775"/>
    <w:rsid w:val="00FB7EA9"/>
    <w:rsid w:val="00FC0C28"/>
    <w:rsid w:val="00FC1557"/>
    <w:rsid w:val="00FC5F9E"/>
    <w:rsid w:val="00FC6344"/>
    <w:rsid w:val="00FD0E72"/>
    <w:rsid w:val="00FD2922"/>
    <w:rsid w:val="00FD34CA"/>
    <w:rsid w:val="00FD40FB"/>
    <w:rsid w:val="00FD453F"/>
    <w:rsid w:val="00FD7155"/>
    <w:rsid w:val="00FE0B0A"/>
    <w:rsid w:val="00FE1F64"/>
    <w:rsid w:val="00FE40A1"/>
    <w:rsid w:val="00FE4AD5"/>
    <w:rsid w:val="00FE5134"/>
    <w:rsid w:val="00FF2360"/>
    <w:rsid w:val="00FF278F"/>
    <w:rsid w:val="00FF5BAC"/>
    <w:rsid w:val="00FF6210"/>
    <w:rsid w:val="04604D1B"/>
    <w:rsid w:val="051A24B9"/>
    <w:rsid w:val="11935ABD"/>
    <w:rsid w:val="26BA3E60"/>
    <w:rsid w:val="41233C46"/>
    <w:rsid w:val="471F2134"/>
    <w:rsid w:val="4CFA6E6C"/>
    <w:rsid w:val="4E854A1D"/>
    <w:rsid w:val="4F014C6C"/>
    <w:rsid w:val="51AA4911"/>
    <w:rsid w:val="5512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ody Text Indent"/>
    <w:basedOn w:val="1"/>
    <w:link w:val="14"/>
    <w:autoRedefine/>
    <w:unhideWhenUsed/>
    <w:qFormat/>
    <w:uiPriority w:val="99"/>
    <w:pPr>
      <w:spacing w:after="120"/>
      <w:ind w:left="420" w:leftChars="200"/>
    </w:pPr>
    <w:rPr>
      <w:rFonts w:ascii="Calibri" w:hAnsi="Calibri"/>
      <w:szCs w:val="22"/>
    </w:rPr>
  </w:style>
  <w:style w:type="paragraph" w:styleId="4">
    <w:name w:val="Balloon Text"/>
    <w:basedOn w:val="1"/>
    <w:link w:val="13"/>
    <w:autoRedefine/>
    <w:semiHidden/>
    <w:unhideWhenUsed/>
    <w:qFormat/>
    <w:uiPriority w:val="99"/>
    <w:rPr>
      <w:sz w:val="18"/>
      <w:szCs w:val="18"/>
    </w:rPr>
  </w:style>
  <w:style w:type="paragraph" w:styleId="5">
    <w:name w:val="footer"/>
    <w:basedOn w:val="1"/>
    <w:link w:val="11"/>
    <w:autoRedefine/>
    <w:qFormat/>
    <w:uiPriority w:val="99"/>
    <w:pPr>
      <w:tabs>
        <w:tab w:val="center" w:pos="4153"/>
        <w:tab w:val="right" w:pos="8306"/>
      </w:tabs>
      <w:snapToGrid w:val="0"/>
      <w:jc w:val="left"/>
    </w:pPr>
    <w:rPr>
      <w:sz w:val="18"/>
      <w:lang w:val="zh-CN"/>
    </w:rPr>
  </w:style>
  <w:style w:type="paragraph" w:styleId="6">
    <w:name w:val="header"/>
    <w:basedOn w:val="1"/>
    <w:link w:val="1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lang w:val="zh-CN"/>
    </w:rPr>
  </w:style>
  <w:style w:type="paragraph" w:styleId="7">
    <w:name w:val="annotation subject"/>
    <w:basedOn w:val="2"/>
    <w:next w:val="2"/>
    <w:link w:val="18"/>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脚 字符"/>
    <w:basedOn w:val="9"/>
    <w:link w:val="5"/>
    <w:autoRedefine/>
    <w:qFormat/>
    <w:uiPriority w:val="99"/>
    <w:rPr>
      <w:rFonts w:ascii="Times New Roman" w:hAnsi="Times New Roman" w:eastAsia="宋体" w:cs="Times New Roman"/>
      <w:sz w:val="18"/>
      <w:szCs w:val="20"/>
      <w:lang w:val="zh-CN" w:eastAsia="zh-CN"/>
    </w:rPr>
  </w:style>
  <w:style w:type="character" w:customStyle="1" w:styleId="12">
    <w:name w:val="页眉 字符"/>
    <w:basedOn w:val="9"/>
    <w:link w:val="6"/>
    <w:autoRedefine/>
    <w:qFormat/>
    <w:uiPriority w:val="0"/>
    <w:rPr>
      <w:rFonts w:ascii="Times New Roman" w:hAnsi="Times New Roman" w:eastAsia="宋体" w:cs="Times New Roman"/>
      <w:sz w:val="18"/>
      <w:szCs w:val="20"/>
      <w:lang w:val="zh-CN" w:eastAsia="zh-CN"/>
    </w:rPr>
  </w:style>
  <w:style w:type="character" w:customStyle="1" w:styleId="13">
    <w:name w:val="批注框文本 字符"/>
    <w:basedOn w:val="9"/>
    <w:link w:val="4"/>
    <w:autoRedefine/>
    <w:semiHidden/>
    <w:qFormat/>
    <w:uiPriority w:val="99"/>
    <w:rPr>
      <w:rFonts w:ascii="Times New Roman" w:hAnsi="Times New Roman" w:eastAsia="宋体" w:cs="Times New Roman"/>
      <w:sz w:val="18"/>
      <w:szCs w:val="18"/>
    </w:rPr>
  </w:style>
  <w:style w:type="character" w:customStyle="1" w:styleId="14">
    <w:name w:val="正文文本缩进 字符"/>
    <w:basedOn w:val="9"/>
    <w:link w:val="3"/>
    <w:autoRedefine/>
    <w:qFormat/>
    <w:uiPriority w:val="99"/>
    <w:rPr>
      <w:rFonts w:ascii="Calibri" w:hAnsi="Calibri" w:eastAsia="宋体" w:cs="Times New Roman"/>
    </w:rPr>
  </w:style>
  <w:style w:type="paragraph" w:customStyle="1" w:styleId="15">
    <w:name w:val="列出段落1"/>
    <w:basedOn w:val="1"/>
    <w:autoRedefine/>
    <w:qFormat/>
    <w:uiPriority w:val="34"/>
    <w:pPr>
      <w:ind w:firstLine="420" w:firstLineChars="200"/>
    </w:pPr>
    <w:rPr>
      <w:rFonts w:ascii="??" w:eastAsia="??"/>
      <w:lang w:eastAsia="en-US"/>
    </w:rPr>
  </w:style>
  <w:style w:type="paragraph" w:customStyle="1" w:styleId="16">
    <w:name w:val="修订1"/>
    <w:autoRedefine/>
    <w:hidden/>
    <w:semiHidden/>
    <w:qFormat/>
    <w:uiPriority w:val="99"/>
    <w:pPr>
      <w:spacing w:after="160" w:line="278" w:lineRule="auto"/>
    </w:pPr>
    <w:rPr>
      <w:rFonts w:ascii="Times New Roman" w:hAnsi="Times New Roman" w:eastAsia="宋体" w:cs="Times New Roman"/>
      <w:kern w:val="2"/>
      <w:sz w:val="21"/>
      <w:lang w:val="en-US" w:eastAsia="zh-CN" w:bidi="ar-SA"/>
    </w:rPr>
  </w:style>
  <w:style w:type="character" w:customStyle="1" w:styleId="17">
    <w:name w:val="批注文字 字符"/>
    <w:basedOn w:val="9"/>
    <w:link w:val="2"/>
    <w:autoRedefine/>
    <w:semiHidden/>
    <w:qFormat/>
    <w:uiPriority w:val="99"/>
    <w:rPr>
      <w:rFonts w:ascii="Times New Roman" w:hAnsi="Times New Roman"/>
      <w:kern w:val="2"/>
      <w:sz w:val="21"/>
    </w:rPr>
  </w:style>
  <w:style w:type="character" w:customStyle="1" w:styleId="18">
    <w:name w:val="批注主题 字符"/>
    <w:basedOn w:val="17"/>
    <w:link w:val="7"/>
    <w:autoRedefine/>
    <w:semiHidden/>
    <w:qFormat/>
    <w:uiPriority w:val="99"/>
    <w:rPr>
      <w:rFonts w:ascii="Times New Roman" w:hAnsi="Times New Rom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60E2-3940-4765-A24D-E9612B4B1AA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1029</Words>
  <Characters>5867</Characters>
  <Lines>48</Lines>
  <Paragraphs>13</Paragraphs>
  <TotalTime>32</TotalTime>
  <ScaleCrop>false</ScaleCrop>
  <LinksUpToDate>false</LinksUpToDate>
  <CharactersWithSpaces>6883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2022-11-22T09:26:00Z</dcterms:created>
  <dc:creator>陈小裙</dc:creator>
  <cp:lastModifiedBy>Administrator</cp:lastModifiedBy>
  <dcterms:modified xsi:type="dcterms:W3CDTF">2024-05-09T01:22:27Z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1C0AF2A7A6FD4121BD4C39B380033751</vt:lpwstr>
  </property>
</Properties>
</file>