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62" w:firstLineChars="300"/>
        <w:rPr>
          <w:rFonts w:hint="eastAsia" w:ascii="MingLiU" w:hAnsi="MingLiU" w:eastAsia="MingLiU" w:cs="MingLiU"/>
          <w:b/>
          <w:bCs/>
          <w:sz w:val="52"/>
          <w:szCs w:val="52"/>
        </w:rPr>
      </w:pPr>
    </w:p>
    <w:p>
      <w:pPr>
        <w:ind w:firstLine="1562" w:firstLineChars="300"/>
        <w:rPr>
          <w:rFonts w:hint="eastAsia" w:ascii="MingLiU" w:hAnsi="MingLiU" w:eastAsia="MingLiU" w:cs="MingLiU"/>
          <w:b/>
          <w:bCs/>
          <w:sz w:val="52"/>
          <w:szCs w:val="52"/>
        </w:rPr>
      </w:pPr>
    </w:p>
    <w:p>
      <w:pPr>
        <w:ind w:firstLine="1562" w:firstLineChars="300"/>
        <w:rPr>
          <w:rFonts w:hint="eastAsia" w:ascii="MingLiU" w:hAnsi="MingLiU" w:eastAsia="MingLiU" w:cs="MingLiU"/>
          <w:b/>
          <w:bCs/>
          <w:sz w:val="52"/>
          <w:szCs w:val="52"/>
        </w:rPr>
      </w:pPr>
    </w:p>
    <w:p>
      <w:pPr>
        <w:ind w:firstLine="1562" w:firstLineChars="300"/>
        <w:rPr>
          <w:rFonts w:hint="eastAsia" w:ascii="MingLiU" w:hAnsi="MingLiU" w:eastAsia="MingLiU" w:cs="MingLiU"/>
          <w:b/>
          <w:bCs/>
          <w:sz w:val="52"/>
          <w:szCs w:val="52"/>
        </w:rPr>
      </w:pPr>
    </w:p>
    <w:p>
      <w:pPr>
        <w:ind w:firstLine="1562" w:firstLineChars="300"/>
        <w:rPr>
          <w:rFonts w:hint="eastAsia" w:ascii="MingLiU" w:hAnsi="MingLiU" w:eastAsia="MingLiU" w:cs="MingLiU"/>
          <w:b/>
          <w:bCs/>
          <w:sz w:val="52"/>
          <w:szCs w:val="52"/>
        </w:rPr>
      </w:pPr>
    </w:p>
    <w:p>
      <w:pPr>
        <w:ind w:firstLine="1562" w:firstLineChars="300"/>
        <w:rPr>
          <w:rFonts w:hint="eastAsia" w:ascii="MingLiU" w:hAnsi="MingLiU" w:eastAsia="MingLiU" w:cs="MingLiU"/>
          <w:b/>
          <w:bCs/>
          <w:sz w:val="52"/>
          <w:szCs w:val="52"/>
        </w:rPr>
      </w:pPr>
      <w:r>
        <w:rPr>
          <w:rFonts w:hint="eastAsia" w:ascii="MingLiU" w:hAnsi="MingLiU" w:eastAsia="MingLiU" w:cs="MingLiU"/>
          <w:b/>
          <w:bCs/>
          <w:sz w:val="52"/>
          <w:szCs w:val="52"/>
        </w:rPr>
        <w:t>国际货物进</w:t>
      </w:r>
      <w:r>
        <w:rPr>
          <w:rFonts w:hint="eastAsia" w:ascii="MingLiU" w:hAnsi="MingLiU" w:cs="MingLiU"/>
          <w:b/>
          <w:bCs/>
          <w:sz w:val="52"/>
          <w:szCs w:val="52"/>
          <w:lang w:eastAsia="zh-CN"/>
        </w:rPr>
        <w:t>出</w:t>
      </w:r>
      <w:r>
        <w:rPr>
          <w:rFonts w:hint="eastAsia" w:ascii="MingLiU" w:hAnsi="MingLiU" w:eastAsia="MingLiU" w:cs="MingLiU"/>
          <w:b/>
          <w:bCs/>
          <w:sz w:val="52"/>
          <w:szCs w:val="52"/>
        </w:rPr>
        <w:t>口</w:t>
      </w:r>
      <w:r>
        <w:rPr>
          <w:rFonts w:hint="eastAsia" w:ascii="MingLiU" w:hAnsi="MingLiU" w:eastAsia="MingLiU" w:cs="MingLiU"/>
          <w:b/>
          <w:bCs/>
          <w:sz w:val="52"/>
          <w:szCs w:val="52"/>
          <w:lang w:eastAsia="zh-CN"/>
        </w:rPr>
        <w:t>申报</w:t>
      </w:r>
      <w:r>
        <w:rPr>
          <w:rFonts w:hint="eastAsia" w:ascii="MingLiU" w:hAnsi="MingLiU" w:eastAsia="MingLiU" w:cs="MingLiU"/>
          <w:b/>
          <w:bCs/>
          <w:sz w:val="52"/>
          <w:szCs w:val="52"/>
        </w:rPr>
        <w:t>代理合同</w:t>
      </w:r>
    </w:p>
    <w:p>
      <w:pPr>
        <w:jc w:val="center"/>
        <w:rPr>
          <w:rFonts w:hint="eastAsia" w:ascii="MingLiU" w:hAnsi="MingLiU" w:eastAsia="MingLiU" w:cs="MingLiU"/>
          <w:b/>
          <w:bCs/>
          <w:szCs w:val="21"/>
        </w:rPr>
      </w:pPr>
    </w:p>
    <w:p>
      <w:pPr>
        <w:jc w:val="center"/>
        <w:rPr>
          <w:rFonts w:hint="eastAsia" w:ascii="MingLiU" w:hAnsi="MingLiU" w:eastAsia="MingLiU" w:cs="MingLiU"/>
          <w:b/>
          <w:bCs/>
          <w:szCs w:val="21"/>
        </w:rPr>
      </w:pPr>
    </w:p>
    <w:p>
      <w:pPr>
        <w:jc w:val="center"/>
        <w:rPr>
          <w:rFonts w:hint="eastAsia" w:ascii="MingLiU" w:hAnsi="MingLiU" w:eastAsia="MingLiU" w:cs="MingLiU"/>
          <w:b/>
          <w:bCs/>
          <w:szCs w:val="21"/>
        </w:rPr>
      </w:pPr>
    </w:p>
    <w:p>
      <w:pPr>
        <w:jc w:val="center"/>
        <w:rPr>
          <w:rFonts w:hint="eastAsia" w:ascii="MingLiU" w:hAnsi="MingLiU" w:eastAsia="MingLiU" w:cs="MingLiU"/>
          <w:b/>
          <w:bCs/>
          <w:szCs w:val="21"/>
        </w:rPr>
      </w:pPr>
    </w:p>
    <w:tbl>
      <w:tblPr>
        <w:tblStyle w:val="7"/>
        <w:tblpPr w:leftFromText="180" w:rightFromText="180" w:vertAnchor="text" w:horzAnchor="page" w:tblpX="1905" w:tblpY="57"/>
        <w:tblW w:w="8330" w:type="dxa"/>
        <w:tblInd w:w="0" w:type="dxa"/>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
      <w:tblGrid>
        <w:gridCol w:w="2235"/>
        <w:gridCol w:w="6095"/>
      </w:tblGrid>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68" w:hRule="atLeast"/>
        </w:trPr>
        <w:tc>
          <w:tcPr>
            <w:tcW w:w="2235" w:type="dxa"/>
            <w:vAlign w:val="center"/>
          </w:tcPr>
          <w:p>
            <w:pPr>
              <w:spacing w:line="400" w:lineRule="exact"/>
              <w:jc w:val="right"/>
              <w:rPr>
                <w:rFonts w:hint="eastAsia" w:ascii="MingLiU" w:hAnsi="MingLiU" w:eastAsia="MingLiU" w:cs="MingLiU"/>
                <w:szCs w:val="21"/>
              </w:rPr>
            </w:pPr>
            <w:r>
              <w:rPr>
                <w:rFonts w:hint="eastAsia" w:ascii="MingLiU" w:hAnsi="MingLiU" w:eastAsia="MingLiU" w:cs="MingLiU"/>
                <w:b/>
                <w:szCs w:val="21"/>
              </w:rPr>
              <w:t>文件编号：</w:t>
            </w:r>
          </w:p>
        </w:tc>
        <w:tc>
          <w:tcPr>
            <w:tcW w:w="6095" w:type="dxa"/>
            <w:vAlign w:val="center"/>
          </w:tcPr>
          <w:p>
            <w:pPr>
              <w:spacing w:line="400" w:lineRule="exact"/>
              <w:rPr>
                <w:rFonts w:hint="default" w:ascii="MingLiU" w:hAnsi="MingLiU" w:eastAsia="MingLiU" w:cs="MingLiU"/>
                <w:szCs w:val="21"/>
                <w:lang w:val="en-US"/>
              </w:rPr>
            </w:pPr>
            <w:r>
              <w:rPr>
                <w:rFonts w:hint="eastAsia" w:ascii="MingLiU" w:hAnsi="MingLiU" w:eastAsia="MingLiU" w:cs="MingLiU"/>
                <w:szCs w:val="21"/>
              </w:rPr>
              <w:t>VH</w:t>
            </w:r>
            <w:r>
              <w:rPr>
                <w:rFonts w:hint="eastAsia" w:ascii="MingLiU" w:hAnsi="MingLiU" w:eastAsia="MingLiU" w:cs="MingLiU"/>
                <w:szCs w:val="21"/>
                <w:lang w:val="en-US" w:eastAsia="zh-CN"/>
              </w:rPr>
              <w:t>GYS20190417</w:t>
            </w:r>
          </w:p>
        </w:tc>
      </w:tr>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68" w:hRule="atLeast"/>
        </w:trPr>
        <w:tc>
          <w:tcPr>
            <w:tcW w:w="2235" w:type="dxa"/>
            <w:vAlign w:val="center"/>
          </w:tcPr>
          <w:p>
            <w:pPr>
              <w:wordWrap w:val="0"/>
              <w:spacing w:line="400" w:lineRule="exact"/>
              <w:jc w:val="right"/>
              <w:rPr>
                <w:rFonts w:hint="eastAsia" w:ascii="MingLiU" w:hAnsi="MingLiU" w:eastAsia="MingLiU" w:cs="MingLiU"/>
                <w:szCs w:val="21"/>
              </w:rPr>
            </w:pPr>
            <w:r>
              <w:rPr>
                <w:rFonts w:hint="eastAsia" w:ascii="MingLiU" w:hAnsi="MingLiU" w:eastAsia="MingLiU" w:cs="MingLiU"/>
                <w:b/>
                <w:szCs w:val="21"/>
              </w:rPr>
              <w:t>版    本：</w:t>
            </w:r>
          </w:p>
        </w:tc>
        <w:tc>
          <w:tcPr>
            <w:tcW w:w="6095" w:type="dxa"/>
            <w:vAlign w:val="center"/>
          </w:tcPr>
          <w:p>
            <w:pPr>
              <w:spacing w:line="400" w:lineRule="exact"/>
              <w:rPr>
                <w:rFonts w:hint="eastAsia" w:ascii="MingLiU" w:hAnsi="MingLiU" w:eastAsia="宋体" w:cs="MingLiU"/>
                <w:szCs w:val="21"/>
                <w:lang w:val="en-US" w:eastAsia="zh-CN"/>
              </w:rPr>
            </w:pPr>
            <w:r>
              <w:rPr>
                <w:rFonts w:hint="eastAsia" w:ascii="MingLiU" w:hAnsi="MingLiU" w:cs="MingLiU"/>
                <w:szCs w:val="21"/>
                <w:lang w:val="en-US" w:eastAsia="zh-CN"/>
              </w:rPr>
              <w:t>2018版</w:t>
            </w:r>
          </w:p>
        </w:tc>
      </w:tr>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68" w:hRule="atLeast"/>
        </w:trPr>
        <w:tc>
          <w:tcPr>
            <w:tcW w:w="2235" w:type="dxa"/>
            <w:vAlign w:val="center"/>
          </w:tcPr>
          <w:p>
            <w:pPr>
              <w:spacing w:line="400" w:lineRule="exact"/>
              <w:jc w:val="right"/>
              <w:rPr>
                <w:rFonts w:hint="eastAsia" w:ascii="MingLiU" w:hAnsi="MingLiU" w:eastAsia="MingLiU" w:cs="MingLiU"/>
                <w:color w:val="000000"/>
                <w:szCs w:val="21"/>
              </w:rPr>
            </w:pPr>
            <w:r>
              <w:rPr>
                <w:rFonts w:hint="eastAsia" w:ascii="MingLiU" w:hAnsi="MingLiU" w:eastAsia="MingLiU" w:cs="MingLiU"/>
                <w:b/>
                <w:szCs w:val="21"/>
              </w:rPr>
              <w:t>拟定日期：</w:t>
            </w:r>
          </w:p>
        </w:tc>
        <w:tc>
          <w:tcPr>
            <w:tcW w:w="6095" w:type="dxa"/>
            <w:vAlign w:val="center"/>
          </w:tcPr>
          <w:p>
            <w:pPr>
              <w:spacing w:line="400" w:lineRule="exact"/>
              <w:rPr>
                <w:rFonts w:hint="default" w:ascii="MingLiU" w:hAnsi="MingLiU" w:eastAsia="宋体" w:cs="MingLiU"/>
                <w:color w:val="000000"/>
                <w:szCs w:val="21"/>
                <w:lang w:val="en-US" w:eastAsia="zh-CN"/>
              </w:rPr>
            </w:pPr>
            <w:r>
              <w:rPr>
                <w:rFonts w:hint="eastAsia" w:ascii="MingLiU" w:hAnsi="MingLiU" w:eastAsia="MingLiU" w:cs="MingLiU"/>
                <w:szCs w:val="21"/>
              </w:rPr>
              <w:t>201</w:t>
            </w:r>
            <w:r>
              <w:rPr>
                <w:rFonts w:hint="eastAsia" w:ascii="MingLiU" w:hAnsi="MingLiU" w:cs="MingLiU"/>
                <w:szCs w:val="21"/>
                <w:lang w:val="en-US" w:eastAsia="zh-CN"/>
              </w:rPr>
              <w:t>9.04.18</w:t>
            </w:r>
          </w:p>
        </w:tc>
      </w:tr>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68" w:hRule="atLeast"/>
        </w:trPr>
        <w:tc>
          <w:tcPr>
            <w:tcW w:w="2235" w:type="dxa"/>
            <w:vAlign w:val="center"/>
          </w:tcPr>
          <w:p>
            <w:pPr>
              <w:spacing w:line="400" w:lineRule="exact"/>
              <w:jc w:val="right"/>
              <w:rPr>
                <w:rFonts w:hint="eastAsia" w:ascii="MingLiU" w:hAnsi="MingLiU" w:eastAsia="MingLiU" w:cs="MingLiU"/>
                <w:color w:val="000000"/>
                <w:szCs w:val="21"/>
              </w:rPr>
            </w:pPr>
            <w:r>
              <w:rPr>
                <w:rFonts w:hint="eastAsia" w:ascii="MingLiU" w:hAnsi="MingLiU" w:eastAsia="MingLiU" w:cs="MingLiU"/>
                <w:b/>
                <w:szCs w:val="21"/>
              </w:rPr>
              <w:t>签订日期：</w:t>
            </w:r>
          </w:p>
        </w:tc>
        <w:tc>
          <w:tcPr>
            <w:tcW w:w="6095" w:type="dxa"/>
            <w:vAlign w:val="center"/>
          </w:tcPr>
          <w:p>
            <w:pPr>
              <w:spacing w:line="400" w:lineRule="exact"/>
              <w:jc w:val="left"/>
              <w:rPr>
                <w:rFonts w:hint="eastAsia" w:ascii="MingLiU" w:hAnsi="MingLiU" w:eastAsia="MingLiU" w:cs="MingLiU"/>
                <w:szCs w:val="21"/>
              </w:rPr>
            </w:pPr>
            <w:r>
              <w:rPr>
                <w:rFonts w:hint="eastAsia" w:ascii="MingLiU" w:hAnsi="MingLiU" w:eastAsia="MingLiU" w:cs="MingLiU"/>
                <w:szCs w:val="21"/>
              </w:rPr>
              <w:t>201</w:t>
            </w:r>
            <w:r>
              <w:rPr>
                <w:rFonts w:hint="eastAsia" w:ascii="MingLiU" w:hAnsi="MingLiU" w:cs="MingLiU"/>
                <w:szCs w:val="21"/>
                <w:lang w:val="en-US" w:eastAsia="zh-CN"/>
              </w:rPr>
              <w:t>9.04.18</w:t>
            </w:r>
          </w:p>
        </w:tc>
      </w:tr>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68" w:hRule="atLeast"/>
        </w:trPr>
        <w:tc>
          <w:tcPr>
            <w:tcW w:w="2235" w:type="dxa"/>
            <w:vAlign w:val="center"/>
          </w:tcPr>
          <w:p>
            <w:pPr>
              <w:spacing w:line="400" w:lineRule="exact"/>
              <w:jc w:val="right"/>
              <w:rPr>
                <w:rFonts w:hint="eastAsia" w:ascii="MingLiU" w:hAnsi="MingLiU" w:eastAsia="MingLiU" w:cs="MingLiU"/>
                <w:color w:val="000000"/>
                <w:szCs w:val="21"/>
              </w:rPr>
            </w:pPr>
            <w:r>
              <w:rPr>
                <w:rFonts w:hint="eastAsia" w:ascii="MingLiU" w:hAnsi="MingLiU" w:eastAsia="MingLiU" w:cs="MingLiU"/>
                <w:b/>
                <w:szCs w:val="21"/>
              </w:rPr>
              <w:t>控制状态：</w:t>
            </w:r>
          </w:p>
        </w:tc>
        <w:tc>
          <w:tcPr>
            <w:tcW w:w="6095" w:type="dxa"/>
            <w:vAlign w:val="center"/>
          </w:tcPr>
          <w:p>
            <w:pPr>
              <w:spacing w:line="400" w:lineRule="exact"/>
              <w:rPr>
                <w:rFonts w:hint="eastAsia" w:ascii="MingLiU" w:hAnsi="MingLiU" w:eastAsia="MingLiU" w:cs="MingLiU"/>
                <w:color w:val="000000"/>
                <w:szCs w:val="21"/>
              </w:rPr>
            </w:pPr>
          </w:p>
        </w:tc>
      </w:tr>
    </w:tbl>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jc w:val="center"/>
        <w:rPr>
          <w:rFonts w:hint="eastAsia" w:ascii="MingLiU" w:hAnsi="MingLiU" w:eastAsia="MingLiU" w:cs="MingLiU"/>
        </w:rPr>
      </w:pPr>
    </w:p>
    <w:p>
      <w:pPr>
        <w:spacing w:line="0" w:lineRule="atLeast"/>
        <w:jc w:val="right"/>
        <w:rPr>
          <w:rFonts w:hint="eastAsia" w:ascii="MingLiU" w:hAnsi="MingLiU" w:eastAsia="宋体" w:cs="MingLiU"/>
          <w:sz w:val="24"/>
          <w:szCs w:val="24"/>
          <w:lang w:val="en-US" w:eastAsia="zh-CN"/>
        </w:rPr>
      </w:pPr>
      <w:r>
        <w:rPr>
          <w:rFonts w:hint="eastAsia" w:ascii="MingLiU" w:hAnsi="MingLiU" w:eastAsia="MingLiU" w:cs="MingLiU"/>
          <w:b/>
          <w:sz w:val="28"/>
          <w:szCs w:val="28"/>
        </w:rPr>
        <w:t>合同签订地：</w:t>
      </w:r>
      <w:r>
        <w:rPr>
          <w:rFonts w:hint="eastAsia" w:ascii="MingLiU" w:hAnsi="MingLiU" w:cs="MingLiU"/>
          <w:sz w:val="24"/>
          <w:szCs w:val="24"/>
          <w:lang w:eastAsia="zh-CN"/>
        </w:rPr>
        <w:t>广州市海珠区新港东路</w:t>
      </w:r>
      <w:r>
        <w:rPr>
          <w:rFonts w:hint="eastAsia" w:ascii="MingLiU" w:hAnsi="MingLiU" w:cs="MingLiU"/>
          <w:sz w:val="24"/>
          <w:szCs w:val="24"/>
          <w:lang w:val="en-US" w:eastAsia="zh-CN"/>
        </w:rPr>
        <w:t>148号环球贸易中心东翼22层</w:t>
      </w:r>
    </w:p>
    <w:p>
      <w:pPr>
        <w:spacing w:line="0" w:lineRule="atLeast"/>
        <w:rPr>
          <w:rFonts w:hint="eastAsia" w:ascii="MingLiU" w:hAnsi="MingLiU" w:eastAsia="MingLiU" w:cs="MingLiU"/>
          <w:b/>
          <w:sz w:val="28"/>
          <w:szCs w:val="28"/>
        </w:rPr>
      </w:pPr>
    </w:p>
    <w:p>
      <w:pPr>
        <w:spacing w:line="100" w:lineRule="atLeast"/>
        <w:rPr>
          <w:rFonts w:hint="eastAsia" w:ascii="MingLiU" w:hAnsi="MingLiU" w:eastAsia="MingLiU" w:cs="MingLiU"/>
          <w:b/>
          <w:sz w:val="28"/>
          <w:szCs w:val="28"/>
        </w:rPr>
      </w:pPr>
    </w:p>
    <w:p>
      <w:pPr>
        <w:spacing w:line="100" w:lineRule="atLeast"/>
        <w:rPr>
          <w:rFonts w:hint="eastAsia" w:ascii="MingLiU" w:hAnsi="MingLiU" w:eastAsia="MingLiU" w:cs="MingLiU"/>
          <w:b/>
          <w:sz w:val="28"/>
          <w:szCs w:val="28"/>
        </w:rPr>
      </w:pPr>
    </w:p>
    <w:p>
      <w:pPr>
        <w:spacing w:line="100" w:lineRule="atLeast"/>
        <w:rPr>
          <w:rFonts w:hint="eastAsia" w:ascii="MingLiU" w:hAnsi="MingLiU" w:eastAsia="MingLiU" w:cs="MingLiU"/>
          <w:b/>
          <w:sz w:val="28"/>
          <w:szCs w:val="28"/>
        </w:rPr>
      </w:pPr>
    </w:p>
    <w:p>
      <w:pPr>
        <w:spacing w:line="100" w:lineRule="atLeast"/>
        <w:rPr>
          <w:rFonts w:hint="eastAsia" w:ascii="MingLiU" w:hAnsi="MingLiU" w:eastAsia="MingLiU" w:cs="MingLiU"/>
          <w:b/>
          <w:sz w:val="28"/>
          <w:szCs w:val="28"/>
        </w:rPr>
      </w:pPr>
    </w:p>
    <w:p>
      <w:pPr>
        <w:spacing w:line="100" w:lineRule="atLeast"/>
        <w:rPr>
          <w:rFonts w:hint="eastAsia" w:ascii="MingLiU" w:hAnsi="MingLiU" w:eastAsia="MingLiU" w:cs="MingLiU"/>
          <w:sz w:val="28"/>
          <w:szCs w:val="28"/>
        </w:rPr>
      </w:pPr>
      <w:r>
        <w:rPr>
          <w:rFonts w:hint="eastAsia" w:ascii="MingLiU" w:hAnsi="MingLiU" w:eastAsia="MingLiU" w:cs="MingLiU"/>
          <w:b/>
          <w:sz w:val="28"/>
          <w:szCs w:val="28"/>
        </w:rPr>
        <w:t>甲    方</w:t>
      </w:r>
      <w:r>
        <w:rPr>
          <w:rFonts w:hint="eastAsia" w:ascii="MingLiU" w:hAnsi="MingLiU" w:eastAsia="MingLiU" w:cs="MingLiU"/>
          <w:sz w:val="28"/>
          <w:szCs w:val="28"/>
          <w:lang w:eastAsia="zh-CN"/>
        </w:rPr>
        <w:t>：广州万享进贸通供应链有限公司（</w:t>
      </w:r>
      <w:r>
        <w:rPr>
          <w:rFonts w:hint="eastAsia" w:ascii="MingLiU" w:hAnsi="MingLiU" w:eastAsia="MingLiU" w:cs="MingLiU"/>
          <w:sz w:val="28"/>
          <w:szCs w:val="28"/>
        </w:rPr>
        <w:t>委托人）</w:t>
      </w:r>
    </w:p>
    <w:p>
      <w:pPr>
        <w:spacing w:line="100" w:lineRule="atLeast"/>
        <w:rPr>
          <w:rFonts w:hint="eastAsia" w:ascii="MingLiU" w:hAnsi="MingLiU" w:eastAsia="MingLiU" w:cs="MingLiU"/>
          <w:b/>
          <w:sz w:val="28"/>
          <w:szCs w:val="28"/>
        </w:rPr>
      </w:pPr>
      <w:r>
        <w:rPr>
          <w:rFonts w:hint="eastAsia" w:ascii="MingLiU" w:hAnsi="MingLiU" w:eastAsia="MingLiU" w:cs="MingLiU"/>
          <w:b/>
          <w:sz w:val="28"/>
          <w:szCs w:val="28"/>
        </w:rPr>
        <w:t>法定代表人或授权人：</w:t>
      </w:r>
      <w:r>
        <w:rPr>
          <w:rFonts w:hint="eastAsia" w:ascii="MingLiU" w:hAnsi="MingLiU" w:eastAsia="MingLiU" w:cs="MingLiU"/>
          <w:sz w:val="28"/>
          <w:szCs w:val="28"/>
          <w:lang w:eastAsia="zh-CN"/>
        </w:rPr>
        <w:t>赖剑灵</w:t>
      </w:r>
    </w:p>
    <w:p>
      <w:pPr>
        <w:spacing w:line="100" w:lineRule="atLeast"/>
        <w:rPr>
          <w:rFonts w:hint="eastAsia" w:ascii="MingLiU" w:hAnsi="MingLiU" w:cs="MingLiU"/>
          <w:sz w:val="24"/>
          <w:szCs w:val="24"/>
          <w:lang w:val="en-US" w:eastAsia="zh-CN"/>
        </w:rPr>
      </w:pPr>
      <w:r>
        <w:rPr>
          <w:rFonts w:hint="eastAsia" w:ascii="MingLiU" w:hAnsi="MingLiU" w:cs="MingLiU"/>
          <w:b/>
          <w:sz w:val="28"/>
          <w:szCs w:val="28"/>
          <w:lang w:eastAsia="zh-CN"/>
        </w:rPr>
        <w:t>办公</w:t>
      </w:r>
      <w:r>
        <w:rPr>
          <w:rFonts w:hint="eastAsia" w:ascii="MingLiU" w:hAnsi="MingLiU" w:eastAsia="MingLiU" w:cs="MingLiU"/>
          <w:b/>
          <w:sz w:val="28"/>
          <w:szCs w:val="28"/>
        </w:rPr>
        <w:t>地址：</w:t>
      </w:r>
      <w:r>
        <w:rPr>
          <w:rFonts w:hint="eastAsia" w:ascii="MingLiU" w:hAnsi="MingLiU" w:eastAsia="MingLiU" w:cs="MingLiU"/>
          <w:sz w:val="28"/>
          <w:szCs w:val="28"/>
          <w:lang w:eastAsia="zh-CN"/>
        </w:rPr>
        <w:t>广州市海珠区新港东路</w:t>
      </w:r>
      <w:r>
        <w:rPr>
          <w:rFonts w:hint="eastAsia" w:ascii="MingLiU" w:hAnsi="MingLiU" w:eastAsia="MingLiU" w:cs="MingLiU"/>
          <w:sz w:val="28"/>
          <w:szCs w:val="28"/>
          <w:lang w:val="en-US" w:eastAsia="zh-CN"/>
        </w:rPr>
        <w:t>148号环球贸易中心东翼22层</w:t>
      </w:r>
    </w:p>
    <w:p>
      <w:pPr>
        <w:spacing w:line="100" w:lineRule="atLeast"/>
        <w:rPr>
          <w:rFonts w:hint="eastAsia" w:ascii="MingLiU" w:hAnsi="MingLiU" w:eastAsia="MingLiU" w:cs="MingLiU"/>
          <w:b/>
          <w:sz w:val="28"/>
          <w:szCs w:val="28"/>
        </w:rPr>
      </w:pPr>
      <w:r>
        <w:rPr>
          <w:rFonts w:hint="eastAsia" w:ascii="MingLiU" w:hAnsi="MingLiU" w:eastAsia="MingLiU" w:cs="MingLiU"/>
          <w:b/>
          <w:sz w:val="28"/>
          <w:szCs w:val="28"/>
        </w:rPr>
        <w:t>业务联络人：</w:t>
      </w:r>
      <w:r>
        <w:rPr>
          <w:rFonts w:hint="eastAsia" w:ascii="MingLiU" w:hAnsi="MingLiU" w:eastAsia="MingLiU" w:cs="MingLiU"/>
          <w:sz w:val="28"/>
          <w:szCs w:val="28"/>
          <w:lang w:eastAsia="zh-CN"/>
        </w:rPr>
        <w:t>赖剑灵</w:t>
      </w:r>
    </w:p>
    <w:p>
      <w:pPr>
        <w:spacing w:line="360" w:lineRule="auto"/>
        <w:rPr>
          <w:rFonts w:hint="eastAsia" w:ascii="MingLiU" w:hAnsi="MingLiU" w:eastAsia="MingLiU" w:cs="MingLiU"/>
          <w:color w:val="FF0000"/>
          <w:sz w:val="28"/>
          <w:szCs w:val="28"/>
          <w:lang w:val="en-US"/>
        </w:rPr>
      </w:pPr>
      <w:r>
        <w:rPr>
          <w:rFonts w:hint="eastAsia" w:ascii="MingLiU" w:hAnsi="MingLiU" w:eastAsia="MingLiU" w:cs="MingLiU"/>
          <w:b/>
          <w:sz w:val="28"/>
          <w:szCs w:val="28"/>
        </w:rPr>
        <w:t>联系电话：</w:t>
      </w:r>
      <w:r>
        <w:rPr>
          <w:rFonts w:hint="eastAsia" w:ascii="MingLiU" w:hAnsi="MingLiU" w:eastAsia="MingLiU" w:cs="MingLiU"/>
          <w:color w:val="FF0000"/>
          <w:sz w:val="28"/>
          <w:szCs w:val="28"/>
          <w:lang w:val="en-US" w:eastAsia="zh-CN"/>
        </w:rPr>
        <w:t xml:space="preserve"> </w:t>
      </w:r>
      <w:r>
        <w:rPr>
          <w:rFonts w:hint="eastAsia" w:ascii="MingLiU" w:hAnsi="MingLiU" w:eastAsia="MingLiU" w:cs="MingLiU"/>
          <w:sz w:val="28"/>
          <w:szCs w:val="28"/>
          <w:lang w:val="en-US" w:eastAsia="zh-CN"/>
        </w:rPr>
        <w:t>020-37160463</w:t>
      </w:r>
    </w:p>
    <w:p>
      <w:pPr>
        <w:spacing w:line="360" w:lineRule="auto"/>
        <w:rPr>
          <w:rFonts w:hint="eastAsia" w:ascii="MingLiU" w:hAnsi="MingLiU" w:eastAsia="MingLiU" w:cs="MingLiU"/>
          <w:b/>
          <w:sz w:val="28"/>
          <w:szCs w:val="28"/>
          <w:lang w:val="en-US"/>
        </w:rPr>
      </w:pPr>
      <w:r>
        <w:rPr>
          <w:rFonts w:hint="eastAsia" w:ascii="MingLiU" w:hAnsi="MingLiU" w:cs="MingLiU"/>
          <w:b/>
          <w:sz w:val="28"/>
          <w:szCs w:val="28"/>
          <w:lang w:eastAsia="zh-CN"/>
        </w:rPr>
        <w:t>邮</w:t>
      </w:r>
      <w:r>
        <w:rPr>
          <w:rFonts w:hint="eastAsia" w:ascii="MingLiU" w:hAnsi="MingLiU" w:cs="MingLiU"/>
          <w:b/>
          <w:sz w:val="28"/>
          <w:szCs w:val="28"/>
          <w:lang w:val="en-US" w:eastAsia="zh-CN"/>
        </w:rPr>
        <w:t xml:space="preserve">    </w:t>
      </w:r>
      <w:r>
        <w:rPr>
          <w:rFonts w:hint="eastAsia" w:ascii="MingLiU" w:hAnsi="MingLiU" w:cs="MingLiU"/>
          <w:b/>
          <w:sz w:val="28"/>
          <w:szCs w:val="28"/>
          <w:lang w:eastAsia="zh-CN"/>
        </w:rPr>
        <w:t>箱</w:t>
      </w:r>
      <w:r>
        <w:rPr>
          <w:rFonts w:hint="eastAsia" w:ascii="MingLiU" w:hAnsi="MingLiU" w:eastAsia="MingLiU" w:cs="MingLiU"/>
          <w:b/>
          <w:sz w:val="28"/>
          <w:szCs w:val="28"/>
        </w:rPr>
        <w:t>：</w:t>
      </w:r>
      <w:r>
        <w:rPr>
          <w:rFonts w:hint="eastAsia" w:ascii="MingLiU" w:hAnsi="MingLiU" w:eastAsia="MingLiU" w:cs="MingLiU"/>
          <w:b/>
          <w:sz w:val="28"/>
          <w:szCs w:val="28"/>
          <w:lang w:val="en-US" w:eastAsia="zh-CN"/>
        </w:rPr>
        <w:t xml:space="preserve"> </w:t>
      </w:r>
      <w:r>
        <w:rPr>
          <w:rFonts w:hint="eastAsia" w:ascii="MingLiU" w:hAnsi="MingLiU" w:eastAsia="MingLiU" w:cs="MingLiU"/>
          <w:sz w:val="28"/>
          <w:szCs w:val="28"/>
          <w:lang w:val="en-US" w:eastAsia="zh-CN"/>
        </w:rPr>
        <w:t>kerwin@vanhang.cn</w:t>
      </w:r>
    </w:p>
    <w:p>
      <w:pPr>
        <w:spacing w:line="360" w:lineRule="auto"/>
        <w:rPr>
          <w:rFonts w:hint="eastAsia" w:ascii="MingLiU" w:hAnsi="MingLiU" w:eastAsia="MingLiU" w:cs="MingLiU"/>
          <w:b/>
          <w:sz w:val="28"/>
          <w:szCs w:val="28"/>
        </w:rPr>
      </w:pPr>
    </w:p>
    <w:p>
      <w:pPr>
        <w:spacing w:line="100" w:lineRule="atLeast"/>
        <w:rPr>
          <w:rFonts w:hint="eastAsia" w:ascii="MingLiU" w:hAnsi="MingLiU" w:eastAsia="MingLiU" w:cs="MingLiU"/>
          <w:b/>
          <w:sz w:val="28"/>
          <w:szCs w:val="28"/>
        </w:rPr>
      </w:pPr>
    </w:p>
    <w:p>
      <w:pPr>
        <w:spacing w:line="100" w:lineRule="atLeast"/>
        <w:rPr>
          <w:rFonts w:hint="eastAsia" w:ascii="MingLiU" w:hAnsi="MingLiU" w:eastAsia="MingLiU" w:cs="MingLiU"/>
          <w:sz w:val="28"/>
          <w:szCs w:val="28"/>
          <w:lang w:eastAsia="zh-CN"/>
        </w:rPr>
      </w:pPr>
      <w:r>
        <w:rPr>
          <w:rFonts w:hint="eastAsia" w:ascii="MingLiU" w:hAnsi="MingLiU" w:eastAsia="MingLiU" w:cs="MingLiU"/>
          <w:b/>
          <w:sz w:val="28"/>
          <w:szCs w:val="28"/>
        </w:rPr>
        <w:t>乙    方：</w:t>
      </w:r>
      <w:r>
        <w:rPr>
          <w:rFonts w:hint="eastAsia" w:ascii="MingLiU" w:hAnsi="MingLiU" w:eastAsia="MingLiU" w:cs="MingLiU"/>
          <w:sz w:val="28"/>
          <w:szCs w:val="28"/>
          <w:lang w:eastAsia="zh-CN"/>
        </w:rPr>
        <w:t>深圳市东泰国际物流有限公司</w:t>
      </w:r>
    </w:p>
    <w:p>
      <w:pPr>
        <w:pStyle w:val="8"/>
        <w:jc w:val="left"/>
        <w:rPr>
          <w:rFonts w:hint="eastAsia" w:ascii="宋体" w:hAnsi="宋体"/>
        </w:rPr>
      </w:pPr>
      <w:r>
        <w:rPr>
          <w:rFonts w:hint="eastAsia" w:ascii="MingLiU" w:hAnsi="MingLiU" w:eastAsia="MingLiU" w:cs="MingLiU"/>
          <w:b/>
          <w:sz w:val="28"/>
          <w:szCs w:val="28"/>
        </w:rPr>
        <w:t>法定代表人或授权人：</w:t>
      </w:r>
      <w:r>
        <w:rPr>
          <w:rFonts w:hint="eastAsia" w:ascii="MingLiU" w:hAnsi="MingLiU" w:eastAsia="宋体" w:cs="MingLiU"/>
          <w:bCs/>
          <w:sz w:val="28"/>
          <w:szCs w:val="28"/>
          <w:lang w:val="en-US" w:eastAsia="zh-CN"/>
        </w:rPr>
        <w:t xml:space="preserve"> </w:t>
      </w:r>
      <w:r>
        <w:rPr>
          <w:rFonts w:hint="eastAsia" w:ascii="MingLiU" w:hAnsi="MingLiU" w:eastAsia="MingLiU" w:cs="MingLiU"/>
          <w:kern w:val="2"/>
          <w:sz w:val="28"/>
          <w:szCs w:val="28"/>
          <w:lang w:val="en-US" w:eastAsia="zh-CN" w:bidi="ar-SA"/>
        </w:rPr>
        <w:t>杨柳飞</w:t>
      </w:r>
    </w:p>
    <w:p>
      <w:pPr>
        <w:spacing w:line="100" w:lineRule="atLeast"/>
        <w:rPr>
          <w:rFonts w:hint="eastAsia" w:ascii="MingLiU" w:hAnsi="MingLiU" w:eastAsia="MingLiU" w:cs="MingLiU"/>
          <w:b/>
          <w:sz w:val="28"/>
          <w:szCs w:val="28"/>
        </w:rPr>
      </w:pPr>
      <w:r>
        <w:rPr>
          <w:rFonts w:hint="eastAsia" w:ascii="MingLiU" w:hAnsi="MingLiU" w:eastAsia="MingLiU" w:cs="MingLiU"/>
          <w:b/>
          <w:sz w:val="28"/>
          <w:szCs w:val="28"/>
        </w:rPr>
        <w:t>公司地址：</w:t>
      </w:r>
      <w:r>
        <w:rPr>
          <w:rFonts w:hint="eastAsia" w:ascii="MingLiU" w:hAnsi="MingLiU" w:eastAsia="MingLiU" w:cs="MingLiU"/>
          <w:kern w:val="2"/>
          <w:sz w:val="28"/>
          <w:szCs w:val="28"/>
          <w:lang w:val="en-US" w:eastAsia="zh-CN" w:bidi="ar-SA"/>
        </w:rPr>
        <w:t>深圳市坪山新区深圳出口加工区启三路城冠工业厂区B栋三楼</w:t>
      </w:r>
    </w:p>
    <w:p>
      <w:pPr>
        <w:spacing w:line="100" w:lineRule="atLeast"/>
        <w:rPr>
          <w:rFonts w:hint="eastAsia" w:ascii="MingLiU" w:hAnsi="MingLiU" w:eastAsia="MingLiU" w:cs="MingLiU"/>
          <w:b/>
          <w:sz w:val="28"/>
          <w:szCs w:val="28"/>
        </w:rPr>
      </w:pPr>
      <w:r>
        <w:rPr>
          <w:rFonts w:hint="eastAsia" w:ascii="MingLiU" w:hAnsi="MingLiU" w:eastAsia="MingLiU" w:cs="MingLiU"/>
          <w:b/>
          <w:sz w:val="28"/>
          <w:szCs w:val="28"/>
        </w:rPr>
        <w:t>经 办 人：</w:t>
      </w:r>
      <w:r>
        <w:rPr>
          <w:rFonts w:hint="eastAsia" w:ascii="MingLiU" w:hAnsi="MingLiU" w:eastAsia="MingLiU" w:cs="MingLiU"/>
          <w:b/>
          <w:sz w:val="28"/>
          <w:szCs w:val="28"/>
        </w:rPr>
        <w:tab/>
      </w:r>
    </w:p>
    <w:p>
      <w:pPr>
        <w:spacing w:line="100" w:lineRule="atLeast"/>
        <w:rPr>
          <w:rFonts w:hint="eastAsia" w:ascii="MingLiU" w:hAnsi="MingLiU" w:eastAsia="MingLiU" w:cs="MingLiU"/>
          <w:b/>
          <w:sz w:val="28"/>
          <w:szCs w:val="28"/>
        </w:rPr>
      </w:pPr>
      <w:r>
        <w:rPr>
          <w:rFonts w:hint="eastAsia" w:ascii="MingLiU" w:hAnsi="MingLiU" w:eastAsia="MingLiU" w:cs="MingLiU"/>
          <w:b/>
          <w:sz w:val="28"/>
          <w:szCs w:val="28"/>
        </w:rPr>
        <w:t>联系电话：</w:t>
      </w:r>
    </w:p>
    <w:p>
      <w:pPr>
        <w:spacing w:line="100" w:lineRule="atLeast"/>
        <w:rPr>
          <w:rFonts w:hint="eastAsia" w:ascii="MingLiU" w:hAnsi="MingLiU" w:eastAsia="MingLiU" w:cs="MingLiU"/>
          <w:b/>
          <w:sz w:val="28"/>
          <w:szCs w:val="28"/>
        </w:rPr>
      </w:pPr>
      <w:r>
        <w:rPr>
          <w:rFonts w:hint="eastAsia" w:ascii="MingLiU" w:hAnsi="MingLiU" w:cs="MingLiU"/>
          <w:b/>
          <w:sz w:val="28"/>
          <w:szCs w:val="28"/>
          <w:lang w:eastAsia="zh-CN"/>
        </w:rPr>
        <w:t>邮</w:t>
      </w:r>
      <w:r>
        <w:rPr>
          <w:rFonts w:hint="eastAsia" w:ascii="MingLiU" w:hAnsi="MingLiU" w:cs="MingLiU"/>
          <w:b/>
          <w:sz w:val="28"/>
          <w:szCs w:val="28"/>
          <w:lang w:val="en-US" w:eastAsia="zh-CN"/>
        </w:rPr>
        <w:t xml:space="preserve">    </w:t>
      </w:r>
      <w:r>
        <w:rPr>
          <w:rFonts w:hint="eastAsia" w:ascii="MingLiU" w:hAnsi="MingLiU" w:cs="MingLiU"/>
          <w:b/>
          <w:sz w:val="28"/>
          <w:szCs w:val="28"/>
          <w:lang w:eastAsia="zh-CN"/>
        </w:rPr>
        <w:t>箱</w:t>
      </w:r>
      <w:r>
        <w:rPr>
          <w:rFonts w:hint="eastAsia" w:ascii="MingLiU" w:hAnsi="MingLiU" w:eastAsia="MingLiU" w:cs="MingLiU"/>
          <w:b/>
          <w:sz w:val="28"/>
          <w:szCs w:val="28"/>
        </w:rPr>
        <w:t>：</w:t>
      </w:r>
    </w:p>
    <w:p>
      <w:pPr>
        <w:pStyle w:val="5"/>
        <w:spacing w:before="156" w:beforeLines="50" w:beforeAutospacing="0" w:after="156" w:afterLines="50" w:afterAutospacing="0" w:line="500" w:lineRule="exact"/>
        <w:textAlignment w:val="baseline"/>
        <w:rPr>
          <w:rFonts w:hint="eastAsia" w:ascii="MingLiU" w:hAnsi="MingLiU" w:eastAsia="MingLiU" w:cs="MingLiU"/>
          <w:kern w:val="2"/>
          <w:sz w:val="20"/>
        </w:rPr>
      </w:pPr>
    </w:p>
    <w:p>
      <w:pPr>
        <w:pStyle w:val="5"/>
        <w:spacing w:before="156" w:beforeLines="50" w:beforeAutospacing="0" w:after="156" w:afterLines="50" w:afterAutospacing="0" w:line="500" w:lineRule="exact"/>
        <w:textAlignment w:val="baseline"/>
        <w:rPr>
          <w:rFonts w:hint="eastAsia" w:ascii="MingLiU" w:hAnsi="MingLiU" w:eastAsia="MingLiU" w:cs="MingLiU"/>
          <w:kern w:val="2"/>
          <w:sz w:val="20"/>
        </w:rPr>
      </w:pPr>
    </w:p>
    <w:p>
      <w:pPr>
        <w:spacing w:line="360" w:lineRule="auto"/>
        <w:ind w:right="-1048" w:rightChars="-499"/>
        <w:rPr>
          <w:rFonts w:hint="eastAsia" w:ascii="MingLiU" w:hAnsi="MingLiU" w:eastAsia="MingLiU" w:cs="MingLiU"/>
          <w:szCs w:val="21"/>
        </w:rPr>
      </w:pPr>
    </w:p>
    <w:p>
      <w:pPr>
        <w:spacing w:line="360" w:lineRule="auto"/>
        <w:ind w:right="-1048" w:rightChars="-499"/>
        <w:jc w:val="left"/>
        <w:rPr>
          <w:rFonts w:hint="eastAsia" w:ascii="MingLiU" w:hAnsi="MingLiU" w:cs="MingLiU"/>
          <w:sz w:val="24"/>
          <w:szCs w:val="24"/>
          <w:lang w:eastAsia="zh-CN"/>
        </w:rPr>
      </w:pPr>
      <w:r>
        <w:rPr>
          <w:rFonts w:hint="eastAsia" w:ascii="MingLiU" w:hAnsi="MingLiU" w:cs="MingLiU"/>
          <w:sz w:val="24"/>
          <w:szCs w:val="24"/>
          <w:lang w:eastAsia="zh-CN"/>
        </w:rPr>
        <w:t>定义：</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lang w:val="en-US" w:eastAsia="zh-CN"/>
        </w:rPr>
        <w:t xml:space="preserve"> 甲方所委托业务包括但不限于甲方抬头作为经营单位或者收货人的进出口报关业务，凡甲方员工委托对接的的通关业务均定义为甲方委托业务</w:t>
      </w:r>
      <w:r>
        <w:rPr>
          <w:rFonts w:hint="eastAsia" w:ascii="MingLiU" w:hAnsi="MingLiU" w:eastAsia="MingLiU" w:cs="MingLiU"/>
          <w:sz w:val="24"/>
          <w:szCs w:val="24"/>
        </w:rPr>
        <w:t>，乙方受委托代理甲方在</w:t>
      </w:r>
      <w:r>
        <w:rPr>
          <w:rFonts w:hint="eastAsia" w:ascii="MingLiU" w:hAnsi="MingLiU" w:eastAsia="MingLiU" w:cs="MingLiU"/>
          <w:sz w:val="24"/>
          <w:szCs w:val="24"/>
          <w:lang w:val="en-US" w:eastAsia="zh-CN"/>
        </w:rPr>
        <w:t>中国境内</w:t>
      </w:r>
      <w:r>
        <w:rPr>
          <w:rFonts w:hint="eastAsia" w:ascii="MingLiU" w:hAnsi="MingLiU" w:eastAsia="MingLiU" w:cs="MingLiU"/>
          <w:sz w:val="24"/>
          <w:szCs w:val="24"/>
        </w:rPr>
        <w:t>口岸进出口报关</w:t>
      </w:r>
      <w:r>
        <w:rPr>
          <w:rFonts w:hint="eastAsia" w:ascii="MingLiU" w:hAnsi="MingLiU" w:eastAsia="MingLiU" w:cs="MingLiU"/>
          <w:sz w:val="24"/>
          <w:szCs w:val="24"/>
          <w:lang w:eastAsia="zh-CN"/>
        </w:rPr>
        <w:t>报检</w:t>
      </w:r>
      <w:r>
        <w:rPr>
          <w:rFonts w:hint="eastAsia" w:ascii="MingLiU" w:hAnsi="MingLiU" w:eastAsia="MingLiU" w:cs="MingLiU"/>
          <w:sz w:val="24"/>
          <w:szCs w:val="24"/>
        </w:rPr>
        <w:t>事宜达成如下事宜：</w:t>
      </w:r>
    </w:p>
    <w:p>
      <w:pPr>
        <w:spacing w:line="360" w:lineRule="auto"/>
        <w:ind w:right="-1048" w:rightChars="-499"/>
        <w:jc w:val="left"/>
        <w:rPr>
          <w:rFonts w:hint="eastAsia" w:ascii="MingLiU" w:hAnsi="MingLiU" w:eastAsia="宋体" w:cs="MingLiU"/>
          <w:sz w:val="24"/>
          <w:szCs w:val="24"/>
          <w:lang w:val="en-US" w:eastAsia="zh-CN"/>
        </w:rPr>
      </w:pPr>
    </w:p>
    <w:p>
      <w:pPr>
        <w:spacing w:before="312" w:beforeLines="100" w:line="360" w:lineRule="auto"/>
        <w:ind w:right="-1048" w:rightChars="-499"/>
        <w:jc w:val="left"/>
        <w:rPr>
          <w:rFonts w:hint="eastAsia" w:ascii="MingLiU" w:hAnsi="MingLiU" w:eastAsia="MingLiU" w:cs="MingLiU"/>
          <w:b/>
          <w:sz w:val="24"/>
          <w:szCs w:val="24"/>
        </w:rPr>
      </w:pPr>
      <w:r>
        <w:rPr>
          <w:rFonts w:hint="eastAsia" w:ascii="MingLiU" w:hAnsi="MingLiU" w:eastAsia="MingLiU" w:cs="MingLiU"/>
          <w:b/>
          <w:sz w:val="24"/>
          <w:szCs w:val="24"/>
        </w:rPr>
        <w:t>一、委托事项：</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乙方在 201</w:t>
      </w:r>
      <w:r>
        <w:rPr>
          <w:rFonts w:hint="eastAsia" w:ascii="MingLiU" w:hAnsi="MingLiU" w:eastAsia="MingLiU" w:cs="MingLiU"/>
          <w:sz w:val="24"/>
          <w:szCs w:val="24"/>
          <w:lang w:val="en-US" w:eastAsia="zh-CN"/>
        </w:rPr>
        <w:t>9</w:t>
      </w:r>
      <w:r>
        <w:rPr>
          <w:rFonts w:hint="eastAsia" w:ascii="MingLiU" w:hAnsi="MingLiU" w:eastAsia="MingLiU" w:cs="MingLiU"/>
          <w:sz w:val="24"/>
          <w:szCs w:val="24"/>
        </w:rPr>
        <w:t xml:space="preserve">年 </w:t>
      </w:r>
      <w:r>
        <w:rPr>
          <w:rFonts w:hint="eastAsia" w:ascii="MingLiU" w:hAnsi="MingLiU" w:cs="MingLiU"/>
          <w:sz w:val="24"/>
          <w:szCs w:val="24"/>
          <w:lang w:val="en-US" w:eastAsia="zh-CN"/>
        </w:rPr>
        <w:t>04</w:t>
      </w:r>
      <w:r>
        <w:rPr>
          <w:rFonts w:hint="eastAsia" w:ascii="MingLiU" w:hAnsi="MingLiU" w:eastAsia="MingLiU" w:cs="MingLiU"/>
          <w:sz w:val="24"/>
          <w:szCs w:val="24"/>
        </w:rPr>
        <w:t xml:space="preserve">月  </w:t>
      </w:r>
      <w:r>
        <w:rPr>
          <w:rFonts w:hint="eastAsia" w:ascii="MingLiU" w:hAnsi="MingLiU" w:eastAsia="MingLiU" w:cs="MingLiU"/>
          <w:sz w:val="24"/>
          <w:szCs w:val="24"/>
          <w:lang w:val="en-US" w:eastAsia="zh-CN"/>
        </w:rPr>
        <w:t>01</w:t>
      </w:r>
      <w:r>
        <w:rPr>
          <w:rFonts w:hint="eastAsia" w:ascii="MingLiU" w:hAnsi="MingLiU" w:eastAsia="MingLiU" w:cs="MingLiU"/>
          <w:sz w:val="24"/>
          <w:szCs w:val="24"/>
        </w:rPr>
        <w:t xml:space="preserve"> 日至 20</w:t>
      </w:r>
      <w:r>
        <w:rPr>
          <w:rFonts w:hint="eastAsia" w:ascii="MingLiU" w:hAnsi="MingLiU" w:cs="MingLiU"/>
          <w:sz w:val="24"/>
          <w:szCs w:val="24"/>
          <w:lang w:val="en-US" w:eastAsia="zh-CN"/>
        </w:rPr>
        <w:t>20</w:t>
      </w:r>
      <w:r>
        <w:rPr>
          <w:rFonts w:hint="eastAsia" w:ascii="MingLiU" w:hAnsi="MingLiU" w:eastAsia="MingLiU" w:cs="MingLiU"/>
          <w:sz w:val="24"/>
          <w:szCs w:val="24"/>
        </w:rPr>
        <w:t xml:space="preserve">年 </w:t>
      </w:r>
      <w:r>
        <w:rPr>
          <w:rFonts w:hint="eastAsia" w:ascii="MingLiU" w:hAnsi="MingLiU" w:cs="MingLiU"/>
          <w:sz w:val="24"/>
          <w:szCs w:val="24"/>
          <w:lang w:val="en-US" w:eastAsia="zh-CN"/>
        </w:rPr>
        <w:t>03</w:t>
      </w:r>
      <w:r>
        <w:rPr>
          <w:rFonts w:hint="eastAsia" w:ascii="MingLiU" w:hAnsi="MingLiU" w:eastAsia="MingLiU" w:cs="MingLiU"/>
          <w:sz w:val="24"/>
          <w:szCs w:val="24"/>
        </w:rPr>
        <w:t>月</w:t>
      </w:r>
      <w:r>
        <w:rPr>
          <w:rFonts w:hint="eastAsia" w:ascii="MingLiU" w:hAnsi="MingLiU" w:eastAsia="MingLiU" w:cs="MingLiU"/>
          <w:sz w:val="24"/>
          <w:szCs w:val="24"/>
          <w:lang w:val="en-US" w:eastAsia="zh-CN"/>
        </w:rPr>
        <w:t>31</w:t>
      </w:r>
      <w:r>
        <w:rPr>
          <w:rFonts w:hint="eastAsia" w:ascii="MingLiU" w:hAnsi="MingLiU" w:eastAsia="MingLiU" w:cs="MingLiU"/>
          <w:sz w:val="24"/>
          <w:szCs w:val="24"/>
        </w:rPr>
        <w:t>日之间受委托代理甲方办理进出口报关报检等业务。甲方委托乙方办理的进出口货物的具体明细，</w:t>
      </w:r>
      <w:r>
        <w:rPr>
          <w:rFonts w:hint="eastAsia" w:ascii="MingLiU" w:hAnsi="MingLiU" w:eastAsia="MingLiU" w:cs="MingLiU"/>
          <w:sz w:val="24"/>
          <w:szCs w:val="24"/>
          <w:lang w:eastAsia="zh-CN"/>
        </w:rPr>
        <w:t>根据业务形态不需要每批次单独发送书面指令</w:t>
      </w:r>
      <w:r>
        <w:rPr>
          <w:rFonts w:hint="eastAsia" w:ascii="MingLiU" w:hAnsi="MingLiU" w:eastAsia="MingLiU" w:cs="MingLiU"/>
          <w:sz w:val="24"/>
          <w:szCs w:val="24"/>
        </w:rPr>
        <w:t>，</w:t>
      </w:r>
      <w:r>
        <w:rPr>
          <w:rFonts w:hint="eastAsia" w:ascii="MingLiU" w:hAnsi="MingLiU" w:eastAsia="MingLiU" w:cs="MingLiU"/>
          <w:sz w:val="24"/>
          <w:szCs w:val="24"/>
          <w:lang w:eastAsia="zh-CN"/>
        </w:rPr>
        <w:t>仅</w:t>
      </w:r>
      <w:r>
        <w:rPr>
          <w:rFonts w:hint="eastAsia" w:ascii="MingLiU" w:hAnsi="MingLiU" w:eastAsia="MingLiU" w:cs="MingLiU"/>
          <w:sz w:val="24"/>
          <w:szCs w:val="24"/>
        </w:rPr>
        <w:t>将以下材料或信息提供给乙方</w:t>
      </w:r>
      <w:r>
        <w:rPr>
          <w:rFonts w:hint="eastAsia" w:ascii="MingLiU" w:hAnsi="MingLiU" w:eastAsia="MingLiU" w:cs="MingLiU"/>
          <w:sz w:val="24"/>
          <w:szCs w:val="24"/>
          <w:lang w:eastAsia="zh-CN"/>
        </w:rPr>
        <w:t>后即视为甲方委托指令</w:t>
      </w:r>
      <w:r>
        <w:rPr>
          <w:rFonts w:hint="eastAsia" w:ascii="MingLiU" w:hAnsi="MingLiU" w:eastAsia="MingLiU" w:cs="MingLiU"/>
          <w:sz w:val="24"/>
          <w:szCs w:val="24"/>
        </w:rPr>
        <w:t>：</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1、合同；</w:t>
      </w:r>
      <w:bookmarkStart w:id="1" w:name="_GoBack"/>
      <w:bookmarkEnd w:id="1"/>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2、发票；</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3、装箱单；</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4、提单、空运单或其他运输单证；</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5、提货单；</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6、货物的HS编码；</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7、贸易性质；</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8、手册，批件，如进出口许可证，配额证，免税表，证明等；</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cs="MingLiU"/>
          <w:sz w:val="24"/>
          <w:szCs w:val="24"/>
          <w:lang w:val="en-US" w:eastAsia="zh-CN"/>
        </w:rPr>
        <w:t>9</w:t>
      </w:r>
      <w:r>
        <w:rPr>
          <w:rFonts w:hint="eastAsia" w:ascii="MingLiU" w:hAnsi="MingLiU" w:eastAsia="MingLiU" w:cs="MingLiU"/>
          <w:sz w:val="24"/>
          <w:szCs w:val="24"/>
        </w:rPr>
        <w:t>、报关所需的其他资料。</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乙方根据甲方提供的</w:t>
      </w:r>
      <w:r>
        <w:rPr>
          <w:rFonts w:hint="eastAsia" w:ascii="MingLiU" w:hAnsi="MingLiU" w:eastAsia="MingLiU" w:cs="MingLiU"/>
          <w:sz w:val="24"/>
          <w:szCs w:val="24"/>
          <w:lang w:eastAsia="zh-CN"/>
        </w:rPr>
        <w:t>以上</w:t>
      </w:r>
      <w:r>
        <w:rPr>
          <w:rFonts w:hint="eastAsia" w:ascii="MingLiU" w:hAnsi="MingLiU" w:eastAsia="MingLiU" w:cs="MingLiU"/>
          <w:sz w:val="24"/>
          <w:szCs w:val="24"/>
        </w:rPr>
        <w:t>单证</w:t>
      </w:r>
      <w:r>
        <w:rPr>
          <w:rFonts w:hint="eastAsia" w:ascii="MingLiU" w:hAnsi="MingLiU" w:eastAsia="MingLiU" w:cs="MingLiU"/>
          <w:sz w:val="24"/>
          <w:szCs w:val="24"/>
          <w:lang w:eastAsia="zh-CN"/>
        </w:rPr>
        <w:t>后即视为乙方接收甲方委托，以上文件形式不限于书面或即时通讯传送，以上收到资料后及时审核资料并在一个工作日内完成全部信息资料补充提醒，如无误后乙方应</w:t>
      </w:r>
      <w:r>
        <w:rPr>
          <w:rFonts w:hint="eastAsia" w:ascii="MingLiU" w:hAnsi="MingLiU" w:eastAsia="MingLiU" w:cs="MingLiU"/>
          <w:sz w:val="24"/>
          <w:szCs w:val="24"/>
        </w:rPr>
        <w:t>及时办理通关手续。</w:t>
      </w:r>
    </w:p>
    <w:p>
      <w:pPr>
        <w:spacing w:before="312" w:beforeLines="100" w:line="360" w:lineRule="auto"/>
        <w:ind w:right="-1048" w:rightChars="-499"/>
        <w:jc w:val="left"/>
        <w:rPr>
          <w:rFonts w:hint="eastAsia" w:ascii="MingLiU" w:hAnsi="MingLiU" w:eastAsia="MingLiU" w:cs="MingLiU"/>
          <w:b/>
          <w:sz w:val="24"/>
          <w:szCs w:val="24"/>
        </w:rPr>
      </w:pPr>
      <w:r>
        <w:rPr>
          <w:rFonts w:hint="eastAsia" w:ascii="MingLiU" w:hAnsi="MingLiU" w:eastAsia="MingLiU" w:cs="MingLiU"/>
          <w:b/>
          <w:sz w:val="24"/>
          <w:szCs w:val="24"/>
        </w:rPr>
        <w:t>二、双方责任义务：</w:t>
      </w:r>
    </w:p>
    <w:p>
      <w:pPr>
        <w:adjustRightInd w:val="0"/>
        <w:snapToGrid w:val="0"/>
        <w:spacing w:before="156" w:beforeLines="50" w:line="360" w:lineRule="auto"/>
        <w:ind w:firstLine="480" w:firstLineChars="200"/>
        <w:jc w:val="left"/>
        <w:rPr>
          <w:rFonts w:hint="eastAsia" w:ascii="MingLiU" w:hAnsi="MingLiU" w:eastAsia="MingLiU" w:cs="MingLiU"/>
          <w:b/>
          <w:sz w:val="24"/>
          <w:szCs w:val="24"/>
        </w:rPr>
      </w:pPr>
      <w:r>
        <w:rPr>
          <w:rFonts w:hint="eastAsia" w:ascii="MingLiU" w:hAnsi="MingLiU" w:eastAsia="MingLiU" w:cs="MingLiU"/>
          <w:b/>
          <w:sz w:val="24"/>
          <w:szCs w:val="24"/>
        </w:rPr>
        <w:t>1、甲方责任义务：</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（1）甲方必须保证报关货物不属于国家禁止或者限制进出境的物品，否则，甲方应对由此产生的一切后果承担责任。</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（2）甲方应向乙方提供所需的完整、有效、合法、准确的单证，正式申报物品的中文品名及价格，不能随意修改单证，如对单证有疑问，应及时与乙方联系，取得双方确认后再进行操作。</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（3）甲方如有特殊情况需加快清关的货物应提前通知乙方。如因甲方造成乙方承担违法的连带责任，甲方须承担乙方由此产生的所有</w:t>
      </w:r>
      <w:r>
        <w:rPr>
          <w:rFonts w:hint="eastAsia" w:ascii="MingLiU" w:hAnsi="MingLiU" w:eastAsia="MingLiU" w:cs="MingLiU"/>
          <w:sz w:val="24"/>
          <w:szCs w:val="24"/>
          <w:lang w:eastAsia="zh-CN"/>
        </w:rPr>
        <w:t>直接</w:t>
      </w:r>
      <w:r>
        <w:rPr>
          <w:rFonts w:hint="eastAsia" w:ascii="MingLiU" w:hAnsi="MingLiU" w:eastAsia="MingLiU" w:cs="MingLiU"/>
          <w:sz w:val="24"/>
          <w:szCs w:val="24"/>
        </w:rPr>
        <w:t>损失。</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（4）甲方需要变更有关报关</w:t>
      </w:r>
      <w:r>
        <w:rPr>
          <w:rFonts w:hint="eastAsia" w:ascii="MingLiU" w:hAnsi="MingLiU" w:cs="MingLiU"/>
          <w:sz w:val="24"/>
          <w:szCs w:val="24"/>
          <w:lang w:eastAsia="zh-CN"/>
        </w:rPr>
        <w:t>更改</w:t>
      </w:r>
      <w:r>
        <w:rPr>
          <w:rFonts w:hint="eastAsia" w:ascii="MingLiU" w:hAnsi="MingLiU" w:eastAsia="MingLiU" w:cs="MingLiU"/>
          <w:sz w:val="24"/>
          <w:szCs w:val="24"/>
        </w:rPr>
        <w:t>事项的，应在报关前提出，并应出具书面的变更通知书。报关后有正当理由需要更改的，乙方协助办理。由于变更引起的费用和后果由甲方承担。</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（5）通关过程中，如海关和商检对产品用途，性能，价格提出质询时，甲方应向乙方提供文字性资料，协助乙方回答海关和商检对货物及单证提出的疑问。</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6）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（7）甲方有权对乙方的报关行为进行监督，有权要求乙方对于报关进展情况及时汇报。</w:t>
      </w:r>
    </w:p>
    <w:p>
      <w:pPr>
        <w:adjustRightInd w:val="0"/>
        <w:snapToGrid w:val="0"/>
        <w:spacing w:line="360" w:lineRule="auto"/>
        <w:ind w:firstLine="480" w:firstLineChars="200"/>
        <w:jc w:val="left"/>
        <w:rPr>
          <w:rFonts w:hint="eastAsia" w:ascii="MingLiU" w:hAnsi="MingLiU" w:eastAsia="MingLiU" w:cs="MingLiU"/>
          <w:b/>
          <w:sz w:val="24"/>
          <w:szCs w:val="24"/>
        </w:rPr>
      </w:pPr>
      <w:r>
        <w:rPr>
          <w:rFonts w:hint="eastAsia" w:ascii="MingLiU" w:hAnsi="MingLiU" w:eastAsia="MingLiU" w:cs="MingLiU"/>
          <w:b/>
          <w:sz w:val="24"/>
          <w:szCs w:val="24"/>
        </w:rPr>
        <w:t>2、乙方责任义务：</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（1）</w:t>
      </w:r>
      <w:r>
        <w:rPr>
          <w:rFonts w:hint="eastAsia" w:ascii="MingLiU" w:hAnsi="MingLiU" w:eastAsia="宋体" w:cs="MingLiU"/>
          <w:sz w:val="24"/>
          <w:szCs w:val="24"/>
          <w:lang w:eastAsia="zh-CN"/>
        </w:rPr>
        <w:t>乙方在收到甲方提供的报关资料如两个工作日内未提出异议则视为甲方提供的资料完整无误，否则由此产生的一切责任和风险均由乙方承担，并由此造成的费用均由乙方承担；</w:t>
      </w:r>
    </w:p>
    <w:p>
      <w:pPr>
        <w:adjustRightInd w:val="0"/>
        <w:snapToGrid w:val="0"/>
        <w:spacing w:line="360" w:lineRule="auto"/>
        <w:ind w:firstLine="480" w:firstLineChars="200"/>
        <w:jc w:val="left"/>
        <w:rPr>
          <w:rFonts w:hint="eastAsia" w:ascii="MingLiU" w:hAnsi="MingLiU" w:eastAsia="MingLiU" w:cs="MingLiU"/>
          <w:sz w:val="24"/>
          <w:szCs w:val="24"/>
        </w:rPr>
      </w:pPr>
      <w:bookmarkStart w:id="0" w:name="OLE_LINK1"/>
      <w:r>
        <w:rPr>
          <w:rFonts w:hint="eastAsia" w:ascii="MingLiU" w:hAnsi="MingLiU" w:eastAsia="MingLiU" w:cs="MingLiU"/>
          <w:sz w:val="24"/>
          <w:szCs w:val="24"/>
        </w:rPr>
        <w:t>（</w:t>
      </w:r>
      <w:r>
        <w:rPr>
          <w:rFonts w:hint="eastAsia" w:ascii="MingLiU" w:hAnsi="MingLiU" w:eastAsia="宋体" w:cs="MingLiU"/>
          <w:sz w:val="24"/>
          <w:szCs w:val="24"/>
          <w:lang w:val="en-US" w:eastAsia="zh-CN"/>
        </w:rPr>
        <w:t>2</w:t>
      </w:r>
      <w:r>
        <w:rPr>
          <w:rFonts w:hint="eastAsia" w:ascii="MingLiU" w:hAnsi="MingLiU" w:eastAsia="MingLiU" w:cs="MingLiU"/>
          <w:sz w:val="24"/>
          <w:szCs w:val="24"/>
        </w:rPr>
        <w:t>）</w:t>
      </w:r>
      <w:bookmarkEnd w:id="0"/>
      <w:r>
        <w:rPr>
          <w:rFonts w:hint="eastAsia" w:ascii="MingLiU" w:hAnsi="MingLiU" w:eastAsia="MingLiU" w:cs="MingLiU"/>
          <w:sz w:val="24"/>
          <w:szCs w:val="24"/>
        </w:rPr>
        <w:t>乙方作为甲方的报关代理人，应在甲方的授权范围内进行活动，认真履行职责，维护甲方的合法权益。乙方在代理权限内</w:t>
      </w:r>
      <w:r>
        <w:rPr>
          <w:rFonts w:hint="eastAsia" w:ascii="MingLiU" w:hAnsi="MingLiU" w:eastAsia="MingLiU" w:cs="MingLiU"/>
          <w:sz w:val="24"/>
          <w:szCs w:val="24"/>
          <w:lang w:eastAsia="zh-CN"/>
        </w:rPr>
        <w:t>产生的第三方费用</w:t>
      </w:r>
      <w:r>
        <w:rPr>
          <w:rFonts w:hint="eastAsia" w:ascii="MingLiU" w:hAnsi="MingLiU" w:eastAsia="MingLiU" w:cs="MingLiU"/>
          <w:sz w:val="24"/>
          <w:szCs w:val="24"/>
        </w:rPr>
        <w:t>费用应由甲方承担</w:t>
      </w:r>
      <w:r>
        <w:rPr>
          <w:rFonts w:hint="eastAsia" w:ascii="MingLiU" w:hAnsi="MingLiU" w:cs="MingLiU"/>
          <w:sz w:val="24"/>
          <w:szCs w:val="24"/>
          <w:lang w:eastAsia="zh-CN"/>
        </w:rPr>
        <w:t>，但金额超过</w:t>
      </w:r>
      <w:r>
        <w:rPr>
          <w:rFonts w:hint="eastAsia" w:ascii="MingLiU" w:hAnsi="MingLiU" w:cs="MingLiU"/>
          <w:sz w:val="24"/>
          <w:szCs w:val="24"/>
          <w:lang w:val="en-US" w:eastAsia="zh-CN"/>
        </w:rPr>
        <w:t>RMB5,000.00以上费用缴纳前需要书面通知甲方，否则甲方有权利拒付</w:t>
      </w:r>
      <w:r>
        <w:rPr>
          <w:rFonts w:hint="eastAsia" w:ascii="MingLiU" w:hAnsi="MingLiU" w:eastAsia="MingLiU" w:cs="MingLiU"/>
          <w:sz w:val="24"/>
          <w:szCs w:val="24"/>
        </w:rPr>
        <w:t>。乙方对因自身的过失与疏忽给甲方造成的损失负有</w:t>
      </w:r>
      <w:r>
        <w:rPr>
          <w:rFonts w:hint="eastAsia" w:ascii="MingLiU" w:hAnsi="MingLiU" w:eastAsia="MingLiU" w:cs="MingLiU"/>
          <w:sz w:val="24"/>
          <w:szCs w:val="24"/>
          <w:lang w:eastAsia="zh-CN"/>
        </w:rPr>
        <w:t>赔偿</w:t>
      </w:r>
      <w:r>
        <w:rPr>
          <w:rFonts w:hint="eastAsia" w:ascii="MingLiU" w:hAnsi="MingLiU" w:eastAsia="MingLiU" w:cs="MingLiU"/>
          <w:sz w:val="24"/>
          <w:szCs w:val="24"/>
        </w:rPr>
        <w:t>责任。</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（2）负责在第一时间缮制报关、报检单文件、预录入并电子发送报关</w:t>
      </w:r>
      <w:r>
        <w:rPr>
          <w:rFonts w:hint="eastAsia" w:ascii="MingLiU" w:hAnsi="MingLiU" w:eastAsia="MingLiU" w:cs="MingLiU"/>
          <w:sz w:val="24"/>
          <w:szCs w:val="24"/>
          <w:lang w:eastAsia="zh-CN"/>
        </w:rPr>
        <w:t>，如有延误应承担由于延误申报造成的所有费用</w:t>
      </w:r>
      <w:r>
        <w:rPr>
          <w:rFonts w:hint="eastAsia" w:ascii="MingLiU" w:hAnsi="MingLiU" w:eastAsia="MingLiU" w:cs="MingLiU"/>
          <w:sz w:val="24"/>
          <w:szCs w:val="24"/>
        </w:rPr>
        <w:t>。</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（3）负责把现场需立即勘误信息及时告知甲方进行有效调整，确保进出口通关的质量。</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（4）负责在报关过程中随时安排配合查验、放行工作，有效地节省查验时间。</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（5）乙方应妥善保管甲方的单证，及时将通关以后的有关单证交还甲方，甲乙双方做好交接查收工作，如因乙方的过失给甲方带来损失，乙方须采取弥补措施或承担赔偿责任。</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（6）乙方有义务为甲方保守商业秘密，未获甲方事先书面同意，不向任何第三方透露甲方的相关信息，但根据有关政府机关或法院要求透露的不在此限</w:t>
      </w:r>
      <w:r>
        <w:rPr>
          <w:rFonts w:hint="eastAsia" w:ascii="MingLiU" w:hAnsi="MingLiU" w:eastAsia="MingLiU" w:cs="MingLiU"/>
          <w:sz w:val="24"/>
          <w:szCs w:val="24"/>
          <w:lang w:eastAsia="zh-CN"/>
        </w:rPr>
        <w:t>，否则应当承担赔偿由此给甲方或甲方客户造成的一切损失。乙方认同甲方与其客户签订的保密协议条款</w:t>
      </w:r>
      <w:r>
        <w:rPr>
          <w:rFonts w:hint="eastAsia" w:ascii="MingLiU" w:hAnsi="MingLiU" w:eastAsia="MingLiU" w:cs="MingLiU"/>
          <w:sz w:val="24"/>
          <w:szCs w:val="24"/>
        </w:rPr>
        <w:t>。</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MingLiU" w:cs="MingLiU"/>
          <w:sz w:val="24"/>
          <w:szCs w:val="24"/>
        </w:rPr>
        <w:t>（</w:t>
      </w:r>
      <w:r>
        <w:rPr>
          <w:rFonts w:hint="eastAsia" w:ascii="MingLiU" w:hAnsi="MingLiU" w:eastAsia="宋体" w:cs="MingLiU"/>
          <w:sz w:val="24"/>
          <w:szCs w:val="24"/>
          <w:lang w:val="en-US" w:eastAsia="zh-CN"/>
        </w:rPr>
        <w:t>7</w:t>
      </w:r>
      <w:r>
        <w:rPr>
          <w:rFonts w:hint="eastAsia" w:ascii="MingLiU" w:hAnsi="MingLiU" w:eastAsia="MingLiU" w:cs="MingLiU"/>
          <w:sz w:val="24"/>
          <w:szCs w:val="24"/>
        </w:rPr>
        <w:t>）</w:t>
      </w:r>
      <w:r>
        <w:rPr>
          <w:rFonts w:hint="eastAsia" w:ascii="MingLiU" w:hAnsi="MingLiU" w:eastAsia="宋体" w:cs="MingLiU"/>
          <w:sz w:val="24"/>
          <w:szCs w:val="24"/>
          <w:lang w:eastAsia="zh-CN"/>
        </w:rPr>
        <w:t>甲方委托乙方进出口报关的合作客户（简称甲方客户）在任何条件和理由下乙方不得私自未经甲方同意进行业务合作，否则将赔偿</w:t>
      </w:r>
      <w:r>
        <w:rPr>
          <w:rFonts w:hint="eastAsia" w:ascii="MingLiU" w:hAnsi="MingLiU" w:cs="MingLiU"/>
          <w:sz w:val="24"/>
          <w:szCs w:val="24"/>
          <w:lang w:eastAsia="zh-CN"/>
        </w:rPr>
        <w:t>合作获益收入的十倍给到甲方</w:t>
      </w:r>
      <w:r>
        <w:rPr>
          <w:rFonts w:hint="eastAsia" w:ascii="MingLiU" w:hAnsi="MingLiU" w:eastAsia="宋体" w:cs="MingLiU"/>
          <w:sz w:val="24"/>
          <w:szCs w:val="24"/>
          <w:lang w:eastAsia="zh-CN"/>
        </w:rPr>
        <w:t>。</w:t>
      </w:r>
    </w:p>
    <w:p>
      <w:pPr>
        <w:adjustRightInd w:val="0"/>
        <w:snapToGrid w:val="0"/>
        <w:spacing w:before="156" w:beforeLines="50" w:line="360" w:lineRule="auto"/>
        <w:ind w:firstLine="480" w:firstLineChars="200"/>
        <w:jc w:val="left"/>
        <w:rPr>
          <w:rFonts w:hint="eastAsia" w:ascii="MingLiU" w:hAnsi="MingLiU" w:eastAsia="MingLiU" w:cs="MingLiU"/>
          <w:b/>
          <w:sz w:val="24"/>
          <w:szCs w:val="24"/>
        </w:rPr>
      </w:pPr>
      <w:r>
        <w:rPr>
          <w:rFonts w:hint="eastAsia" w:ascii="MingLiU" w:hAnsi="MingLiU" w:eastAsia="MingLiU" w:cs="MingLiU"/>
          <w:b/>
          <w:sz w:val="24"/>
          <w:szCs w:val="24"/>
        </w:rPr>
        <w:t>3、报关中涉及检验检疫查验及委托运输事项：</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1）若甲方安排运输，乙方在报关后及时将提货单、查验通知单等各种单证交接给甲方，甲方须按检验检疫局及海关的相关规定完成提货、查验等过程，否则一切后果由甲方负责。若由乙方承接运输工作，乙方应在甲方要求的时间送至甲方指定的地方，如遇特殊情况，乙方应及时通知甲方，在不影响双方根本利益的原则下，双方协调解决。如乙方没有按甲方要求的时间送至甲方指定的地方，甲方有追究乙方责任，并要求</w:t>
      </w:r>
      <w:r>
        <w:rPr>
          <w:rFonts w:hint="eastAsia" w:ascii="MingLiU" w:hAnsi="MingLiU" w:eastAsia="宋体" w:cs="MingLiU"/>
          <w:sz w:val="24"/>
          <w:szCs w:val="24"/>
          <w:lang w:eastAsia="zh-CN"/>
        </w:rPr>
        <w:t>全</w:t>
      </w:r>
      <w:r>
        <w:rPr>
          <w:rFonts w:hint="eastAsia" w:ascii="MingLiU" w:hAnsi="MingLiU" w:eastAsia="MingLiU" w:cs="MingLiU"/>
          <w:sz w:val="24"/>
          <w:szCs w:val="24"/>
          <w:lang w:eastAsia="zh-CN"/>
        </w:rPr>
        <w:t>部</w:t>
      </w:r>
      <w:r>
        <w:rPr>
          <w:rFonts w:hint="eastAsia" w:ascii="MingLiU" w:hAnsi="MingLiU" w:eastAsia="MingLiU" w:cs="MingLiU"/>
          <w:sz w:val="24"/>
          <w:szCs w:val="24"/>
        </w:rPr>
        <w:t>经济</w:t>
      </w:r>
      <w:r>
        <w:rPr>
          <w:rFonts w:hint="eastAsia" w:ascii="MingLiU" w:hAnsi="MingLiU" w:eastAsia="MingLiU" w:cs="MingLiU"/>
          <w:sz w:val="24"/>
          <w:szCs w:val="24"/>
          <w:lang w:eastAsia="zh-CN"/>
        </w:rPr>
        <w:t>损失</w:t>
      </w:r>
      <w:r>
        <w:rPr>
          <w:rFonts w:hint="eastAsia" w:ascii="MingLiU" w:hAnsi="MingLiU" w:eastAsia="MingLiU" w:cs="MingLiU"/>
          <w:sz w:val="24"/>
          <w:szCs w:val="24"/>
        </w:rPr>
        <w:t>赔偿的权利。</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（2）</w:t>
      </w:r>
      <w:r>
        <w:rPr>
          <w:rFonts w:hint="eastAsia" w:ascii="MingLiU" w:hAnsi="MingLiU" w:eastAsia="宋体" w:cs="MingLiU"/>
          <w:sz w:val="24"/>
          <w:szCs w:val="24"/>
          <w:lang w:eastAsia="zh-CN"/>
        </w:rPr>
        <w:t>如乙方未按照甲方指令进行正确单证收件人转交或未按甲方要求进行货物派送及装卸由此造成的一切损失，乙方应承担赔偿责任。</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w:t>
      </w:r>
      <w:r>
        <w:rPr>
          <w:rFonts w:hint="eastAsia" w:ascii="MingLiU" w:hAnsi="MingLiU" w:eastAsia="宋体" w:cs="MingLiU"/>
          <w:sz w:val="24"/>
          <w:szCs w:val="24"/>
          <w:lang w:val="en-US" w:eastAsia="zh-CN"/>
        </w:rPr>
        <w:t>3</w:t>
      </w:r>
      <w:r>
        <w:rPr>
          <w:rFonts w:hint="eastAsia" w:ascii="MingLiU" w:hAnsi="MingLiU" w:eastAsia="MingLiU" w:cs="MingLiU"/>
          <w:sz w:val="24"/>
          <w:szCs w:val="24"/>
        </w:rPr>
        <w:t>）甲方委托代理内容发生变更，必须及时书面通知乙方，由此而产生的额外费用及相关责任由甲方承担。乙方受委托代理甲方办理运输的货物包装必须适合运输要求，</w:t>
      </w:r>
      <w:r>
        <w:rPr>
          <w:rFonts w:hint="eastAsia" w:ascii="MingLiU" w:hAnsi="MingLiU" w:eastAsia="宋体" w:cs="MingLiU"/>
          <w:sz w:val="24"/>
          <w:szCs w:val="24"/>
          <w:lang w:eastAsia="zh-CN"/>
        </w:rPr>
        <w:t>乙方承运前已经完全了解该批货物的运输要求和货物状况并负责检查该批货物的</w:t>
      </w:r>
      <w:r>
        <w:rPr>
          <w:rFonts w:hint="eastAsia" w:ascii="MingLiU" w:hAnsi="MingLiU" w:eastAsia="MingLiU" w:cs="MingLiU"/>
          <w:sz w:val="24"/>
          <w:szCs w:val="24"/>
        </w:rPr>
        <w:t>外包装</w:t>
      </w:r>
      <w:r>
        <w:rPr>
          <w:rFonts w:hint="eastAsia" w:ascii="MingLiU" w:hAnsi="MingLiU" w:eastAsia="宋体" w:cs="MingLiU"/>
          <w:sz w:val="24"/>
          <w:szCs w:val="24"/>
          <w:lang w:eastAsia="zh-CN"/>
        </w:rPr>
        <w:t>是否</w:t>
      </w:r>
      <w:r>
        <w:rPr>
          <w:rFonts w:hint="eastAsia" w:ascii="MingLiU" w:hAnsi="MingLiU" w:eastAsia="MingLiU" w:cs="MingLiU"/>
          <w:sz w:val="24"/>
          <w:szCs w:val="24"/>
        </w:rPr>
        <w:t>标明搬运、储存、防护等标识,</w:t>
      </w:r>
      <w:r>
        <w:rPr>
          <w:rFonts w:hint="eastAsia" w:ascii="MingLiU" w:hAnsi="MingLiU" w:eastAsia="宋体" w:cs="MingLiU"/>
          <w:sz w:val="24"/>
          <w:szCs w:val="24"/>
          <w:lang w:eastAsia="zh-CN"/>
        </w:rPr>
        <w:t>确保</w:t>
      </w:r>
      <w:r>
        <w:rPr>
          <w:rFonts w:hint="eastAsia" w:ascii="MingLiU" w:hAnsi="MingLiU" w:eastAsia="MingLiU" w:cs="MingLiU"/>
          <w:sz w:val="24"/>
          <w:szCs w:val="24"/>
        </w:rPr>
        <w:t>外包装</w:t>
      </w:r>
      <w:r>
        <w:rPr>
          <w:rFonts w:hint="eastAsia" w:ascii="MingLiU" w:hAnsi="MingLiU" w:eastAsia="宋体" w:cs="MingLiU"/>
          <w:sz w:val="24"/>
          <w:szCs w:val="24"/>
          <w:lang w:eastAsia="zh-CN"/>
        </w:rPr>
        <w:t>是否</w:t>
      </w:r>
      <w:r>
        <w:rPr>
          <w:rFonts w:hint="eastAsia" w:ascii="MingLiU" w:hAnsi="MingLiU" w:eastAsia="MingLiU" w:cs="MingLiU"/>
          <w:sz w:val="24"/>
          <w:szCs w:val="24"/>
        </w:rPr>
        <w:t>完好，若因不符合上述要求,在运输</w:t>
      </w:r>
      <w:r>
        <w:rPr>
          <w:rFonts w:hint="eastAsia" w:ascii="MingLiU" w:hAnsi="MingLiU" w:eastAsia="宋体" w:cs="MingLiU"/>
          <w:sz w:val="24"/>
          <w:szCs w:val="24"/>
          <w:lang w:eastAsia="zh-CN"/>
        </w:rPr>
        <w:t>之前和甲方进行确认</w:t>
      </w:r>
      <w:r>
        <w:rPr>
          <w:rFonts w:hint="eastAsia" w:ascii="MingLiU" w:hAnsi="MingLiU" w:eastAsia="MingLiU" w:cs="MingLiU"/>
          <w:sz w:val="24"/>
          <w:szCs w:val="24"/>
          <w:lang w:eastAsia="zh-CN"/>
        </w:rPr>
        <w:t>，如未经过甲方确认的项目因在运输</w:t>
      </w:r>
      <w:r>
        <w:rPr>
          <w:rFonts w:hint="eastAsia" w:ascii="MingLiU" w:hAnsi="MingLiU" w:eastAsia="MingLiU" w:cs="MingLiU"/>
          <w:sz w:val="24"/>
          <w:szCs w:val="24"/>
        </w:rPr>
        <w:t>过程中货物损坏</w:t>
      </w:r>
      <w:r>
        <w:rPr>
          <w:rFonts w:hint="eastAsia" w:ascii="MingLiU" w:hAnsi="MingLiU" w:eastAsia="MingLiU" w:cs="MingLiU"/>
          <w:sz w:val="24"/>
          <w:szCs w:val="24"/>
          <w:lang w:eastAsia="zh-CN"/>
        </w:rPr>
        <w:t>则由乙方承担</w:t>
      </w:r>
      <w:r>
        <w:rPr>
          <w:rFonts w:hint="eastAsia" w:ascii="MingLiU" w:hAnsi="MingLiU" w:eastAsia="MingLiU" w:cs="MingLiU"/>
          <w:sz w:val="24"/>
          <w:szCs w:val="24"/>
        </w:rPr>
        <w:t>。运输费用及港杂费以及与运输、提货等相关费用均由甲方承担。</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eastAsia="MingLiU" w:cs="MingLiU"/>
          <w:sz w:val="24"/>
          <w:szCs w:val="24"/>
        </w:rPr>
        <w:t>（</w:t>
      </w:r>
      <w:r>
        <w:rPr>
          <w:rFonts w:hint="eastAsia" w:ascii="MingLiU" w:hAnsi="MingLiU" w:eastAsia="宋体" w:cs="MingLiU"/>
          <w:sz w:val="24"/>
          <w:szCs w:val="24"/>
          <w:lang w:val="en-US" w:eastAsia="zh-CN"/>
        </w:rPr>
        <w:t>4</w:t>
      </w:r>
      <w:r>
        <w:rPr>
          <w:rFonts w:hint="eastAsia" w:ascii="MingLiU" w:hAnsi="MingLiU" w:eastAsia="MingLiU" w:cs="MingLiU"/>
          <w:sz w:val="24"/>
          <w:szCs w:val="24"/>
        </w:rPr>
        <w:t>）</w:t>
      </w:r>
      <w:r>
        <w:rPr>
          <w:rFonts w:hint="eastAsia" w:ascii="MingLiU" w:hAnsi="MingLiU" w:eastAsia="宋体" w:cs="MingLiU"/>
          <w:sz w:val="24"/>
          <w:szCs w:val="24"/>
          <w:lang w:eastAsia="zh-CN"/>
        </w:rPr>
        <w:t>由乙方负责承运的货物，乙方应提供运输车辆及司机资质齐全并确保该车辆购买了相关保险，同时在乙方承运货物前应购买运输保险，除非甲乙双方另有书面约定外所造成的一切责任和损失均由乙方承担。</w:t>
      </w:r>
    </w:p>
    <w:p>
      <w:pPr>
        <w:adjustRightInd w:val="0"/>
        <w:snapToGrid w:val="0"/>
        <w:spacing w:line="360" w:lineRule="auto"/>
        <w:ind w:firstLine="480" w:firstLineChars="200"/>
        <w:jc w:val="left"/>
        <w:rPr>
          <w:rFonts w:hint="eastAsia" w:ascii="MingLiU" w:hAnsi="MingLiU" w:eastAsia="宋体" w:cs="MingLiU"/>
          <w:sz w:val="24"/>
          <w:szCs w:val="24"/>
          <w:lang w:eastAsia="zh-CN"/>
        </w:rPr>
      </w:pPr>
      <w:r>
        <w:rPr>
          <w:rFonts w:hint="eastAsia" w:ascii="MingLiU" w:hAnsi="MingLiU" w:cs="MingLiU"/>
          <w:sz w:val="24"/>
          <w:szCs w:val="24"/>
          <w:lang w:eastAsia="zh-CN"/>
        </w:rPr>
        <w:t>（</w:t>
      </w:r>
      <w:r>
        <w:rPr>
          <w:rFonts w:hint="eastAsia" w:ascii="MingLiU" w:hAnsi="MingLiU" w:cs="MingLiU"/>
          <w:sz w:val="24"/>
          <w:szCs w:val="24"/>
          <w:lang w:val="en-US" w:eastAsia="zh-CN"/>
        </w:rPr>
        <w:t>5</w:t>
      </w:r>
      <w:r>
        <w:rPr>
          <w:rFonts w:hint="eastAsia" w:ascii="MingLiU" w:hAnsi="MingLiU" w:cs="MingLiU"/>
          <w:sz w:val="24"/>
          <w:szCs w:val="24"/>
          <w:lang w:eastAsia="zh-CN"/>
        </w:rPr>
        <w:t>）乙方有责任对所承运货物进行检查核对，甲方交付给乙方货物后，乙方有责任保全货物，如发生丢失或数量不符则由乙方全权负责。</w:t>
      </w:r>
    </w:p>
    <w:p>
      <w:pPr>
        <w:adjustRightInd w:val="0"/>
        <w:snapToGrid w:val="0"/>
        <w:spacing w:line="360" w:lineRule="auto"/>
        <w:ind w:firstLine="480" w:firstLineChars="200"/>
        <w:jc w:val="left"/>
        <w:rPr>
          <w:rFonts w:hint="eastAsia" w:ascii="MingLiU" w:hAnsi="MingLiU" w:eastAsia="MingLiU" w:cs="MingLiU"/>
          <w:b/>
          <w:sz w:val="24"/>
          <w:szCs w:val="24"/>
        </w:rPr>
      </w:pPr>
      <w:r>
        <w:rPr>
          <w:rFonts w:hint="eastAsia" w:ascii="MingLiU" w:hAnsi="MingLiU" w:eastAsia="MingLiU" w:cs="MingLiU"/>
          <w:b/>
          <w:sz w:val="24"/>
          <w:szCs w:val="24"/>
        </w:rPr>
        <w:t>三、费用及支付方式</w:t>
      </w:r>
    </w:p>
    <w:p>
      <w:pPr>
        <w:adjustRightInd w:val="0"/>
        <w:snapToGrid w:val="0"/>
        <w:spacing w:before="156" w:beforeLines="50" w:line="360" w:lineRule="auto"/>
        <w:ind w:firstLine="480" w:firstLineChars="200"/>
        <w:jc w:val="left"/>
        <w:rPr>
          <w:rFonts w:hint="eastAsia" w:ascii="MingLiU" w:hAnsi="MingLiU" w:eastAsia="MingLiU" w:cs="MingLiU"/>
          <w:sz w:val="24"/>
          <w:szCs w:val="24"/>
        </w:rPr>
      </w:pPr>
      <w:r>
        <w:rPr>
          <w:rFonts w:hint="eastAsia" w:ascii="MingLiU" w:hAnsi="MingLiU" w:eastAsia="MingLiU" w:cs="MingLiU"/>
          <w:b/>
          <w:sz w:val="24"/>
          <w:szCs w:val="24"/>
        </w:rPr>
        <w:t>1、费用：</w:t>
      </w:r>
      <w:r>
        <w:rPr>
          <w:rFonts w:hint="eastAsia" w:ascii="MingLiU" w:hAnsi="MingLiU" w:eastAsia="MingLiU" w:cs="MingLiU"/>
          <w:sz w:val="24"/>
          <w:szCs w:val="24"/>
        </w:rPr>
        <w:t>乙方应收取的具体每票业务的报关、报检和报验等费用标准和结算方式，详见《报价及结算单》，《报价及结算单》为本合同的附件，是本合同不可分割的一部分。《报价及结算单》中的内容甲、乙双方可根据情况进行变更，变更经双方书面确认后方可生效。变更生效前所发生的业务，仍按原《报价及结算单》的标准执行。若单票业务的委托书中的费用标准与《报价及结算单》不一致的，按该票委托书中的标准处理本票业务。对于《报价及结算单》和委托书中均没有约定的乙方应收费项目，双方另行协商处理。</w:t>
      </w:r>
    </w:p>
    <w:p>
      <w:pPr>
        <w:adjustRightInd w:val="0"/>
        <w:snapToGrid w:val="0"/>
        <w:spacing w:before="156" w:beforeLines="50" w:line="360" w:lineRule="auto"/>
        <w:ind w:firstLine="480" w:firstLineChars="200"/>
        <w:jc w:val="left"/>
        <w:rPr>
          <w:rFonts w:hint="eastAsia" w:ascii="MingLiU" w:hAnsi="MingLiU" w:eastAsia="MingLiU" w:cs="MingLiU"/>
          <w:color w:val="FF0000"/>
          <w:sz w:val="24"/>
          <w:szCs w:val="24"/>
        </w:rPr>
      </w:pPr>
      <w:r>
        <w:rPr>
          <w:rFonts w:hint="eastAsia" w:ascii="MingLiU" w:hAnsi="MingLiU" w:eastAsia="MingLiU" w:cs="MingLiU"/>
          <w:b/>
          <w:sz w:val="24"/>
          <w:szCs w:val="24"/>
        </w:rPr>
        <w:t>2、支付方式：</w:t>
      </w:r>
      <w:r>
        <w:rPr>
          <w:rFonts w:hint="eastAsia" w:ascii="MingLiU" w:hAnsi="MingLiU" w:eastAsia="MingLiU" w:cs="MingLiU"/>
          <w:sz w:val="24"/>
          <w:szCs w:val="24"/>
        </w:rPr>
        <w:t>甲方应根据本协议的规定及时支付相关费用。双方商定，乙方根据本协议的收费标准以每月的最后一天为结算日，次月5日前向甲方提供上月的结算清单并附带有关单证，由甲方予以核对确认并签字回传给乙方。乙方开具发票，甲方按乙方开具发票之日后7</w:t>
      </w:r>
      <w:r>
        <w:rPr>
          <w:rFonts w:hint="eastAsia" w:ascii="MingLiU" w:hAnsi="MingLiU" w:cs="MingLiU"/>
          <w:sz w:val="24"/>
          <w:szCs w:val="24"/>
          <w:lang w:eastAsia="zh-CN"/>
        </w:rPr>
        <w:t>个工作日</w:t>
      </w:r>
      <w:r>
        <w:rPr>
          <w:rFonts w:hint="eastAsia" w:ascii="MingLiU" w:hAnsi="MingLiU" w:eastAsia="MingLiU" w:cs="MingLiU"/>
          <w:sz w:val="24"/>
          <w:szCs w:val="24"/>
        </w:rPr>
        <w:t>内付清费用。如乙方为甲方垫付代垫款，乙方收到的发票为非增值税专用发票，</w:t>
      </w:r>
      <w:r>
        <w:rPr>
          <w:rFonts w:hint="eastAsia" w:ascii="MingLiU" w:hAnsi="MingLiU" w:eastAsia="MingLiU" w:cs="MingLiU"/>
          <w:sz w:val="24"/>
          <w:szCs w:val="24"/>
          <w:lang w:eastAsia="zh-CN"/>
        </w:rPr>
        <w:t>根据甲方如需增值税专用发票则</w:t>
      </w:r>
      <w:r>
        <w:rPr>
          <w:rFonts w:hint="eastAsia" w:ascii="MingLiU" w:hAnsi="MingLiU" w:eastAsia="MingLiU" w:cs="MingLiU"/>
          <w:sz w:val="24"/>
          <w:szCs w:val="24"/>
        </w:rPr>
        <w:t>乙方在与甲方进行结算时有权向甲方加收代垫金额的税</w:t>
      </w:r>
      <w:r>
        <w:rPr>
          <w:rFonts w:hint="eastAsia" w:ascii="MingLiU" w:hAnsi="MingLiU" w:cs="MingLiU"/>
          <w:sz w:val="24"/>
          <w:szCs w:val="24"/>
          <w:lang w:eastAsia="zh-CN"/>
        </w:rPr>
        <w:t>费</w:t>
      </w:r>
      <w:r>
        <w:rPr>
          <w:rFonts w:hint="eastAsia" w:ascii="MingLiU" w:hAnsi="MingLiU" w:eastAsia="MingLiU" w:cs="MingLiU"/>
          <w:sz w:val="24"/>
          <w:szCs w:val="24"/>
        </w:rPr>
        <w:t>。</w:t>
      </w:r>
    </w:p>
    <w:p>
      <w:pPr>
        <w:adjustRightInd w:val="0"/>
        <w:snapToGrid w:val="0"/>
        <w:spacing w:before="156" w:beforeLines="50" w:line="360" w:lineRule="auto"/>
        <w:ind w:firstLine="480" w:firstLineChars="200"/>
        <w:jc w:val="left"/>
        <w:rPr>
          <w:rFonts w:hint="eastAsia" w:ascii="MingLiU" w:hAnsi="MingLiU" w:eastAsia="MingLiU" w:cs="MingLiU"/>
          <w:b/>
          <w:sz w:val="24"/>
          <w:szCs w:val="24"/>
        </w:rPr>
      </w:pPr>
      <w:r>
        <w:rPr>
          <w:rFonts w:hint="eastAsia" w:ascii="MingLiU" w:hAnsi="MingLiU" w:eastAsia="MingLiU" w:cs="MingLiU"/>
          <w:b/>
          <w:sz w:val="24"/>
          <w:szCs w:val="24"/>
        </w:rPr>
        <w:t>3、费用责任划分：</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（1）</w:t>
      </w:r>
      <w:r>
        <w:rPr>
          <w:rFonts w:hint="eastAsia" w:ascii="MingLiU" w:hAnsi="MingLiU" w:eastAsia="MingLiU" w:cs="MingLiU"/>
          <w:sz w:val="24"/>
          <w:szCs w:val="24"/>
          <w:lang w:eastAsia="zh-CN"/>
        </w:rPr>
        <w:t>如甲方需要乙方代垫税</w:t>
      </w:r>
      <w:r>
        <w:rPr>
          <w:rFonts w:hint="eastAsia" w:ascii="MingLiU" w:hAnsi="MingLiU" w:eastAsia="宋体" w:cs="MingLiU"/>
          <w:sz w:val="24"/>
          <w:szCs w:val="24"/>
          <w:lang w:eastAsia="zh-CN"/>
        </w:rPr>
        <w:t>金则</w:t>
      </w:r>
      <w:r>
        <w:rPr>
          <w:rFonts w:hint="eastAsia" w:ascii="MingLiU" w:hAnsi="MingLiU" w:eastAsia="MingLiU" w:cs="MingLiU"/>
          <w:sz w:val="24"/>
          <w:szCs w:val="24"/>
        </w:rPr>
        <w:t>甲方应在乙方报关前根据乙方估算的数额将海关关税、海关监管手续费、代征增值税款项汇至乙方帐户，以便乙方代甲方在纳税期限内向海关缴纳。上述款项延期送达，由此产生的额外费用由甲方承担。乙方无义务为甲方垫付上述费用，除非双方有书面的约定。甲方如对海关开征的税额款有异议，应按《海关法》第四十六条的规定办理，先缴纳后申请减免，手续费自负。乙方应积极协助甲方办理退税手续，手续费由甲方承担。</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（2）由于海关、卫生检疫、动植检部门的审核、查验等原因造成乙方报关、报检、报验等延误的，所产生的疏港费、集装箱超期使用费及其他额外费用均由甲方承担，与乙方无关。</w:t>
      </w:r>
    </w:p>
    <w:p>
      <w:pPr>
        <w:adjustRightInd w:val="0"/>
        <w:snapToGrid w:val="0"/>
        <w:spacing w:line="360" w:lineRule="auto"/>
        <w:ind w:firstLine="480" w:firstLineChars="200"/>
        <w:jc w:val="left"/>
        <w:rPr>
          <w:rFonts w:hint="eastAsia" w:ascii="MingLiU" w:hAnsi="MingLiU" w:eastAsia="MingLiU" w:cs="MingLiU"/>
          <w:sz w:val="24"/>
          <w:szCs w:val="24"/>
        </w:rPr>
      </w:pP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b/>
          <w:sz w:val="24"/>
          <w:szCs w:val="24"/>
        </w:rPr>
        <w:t>四、特别约定：</w:t>
      </w:r>
    </w:p>
    <w:p>
      <w:pPr>
        <w:pStyle w:val="2"/>
        <w:spacing w:line="360" w:lineRule="auto"/>
        <w:ind w:firstLine="480" w:firstLineChars="200"/>
        <w:jc w:val="left"/>
        <w:rPr>
          <w:rFonts w:hint="eastAsia" w:ascii="MingLiU" w:hAnsi="MingLiU" w:eastAsia="MingLiU" w:cs="MingLiU"/>
          <w:b w:val="0"/>
          <w:bCs w:val="0"/>
          <w:kern w:val="2"/>
          <w:sz w:val="24"/>
          <w:szCs w:val="24"/>
          <w:lang w:val="en-US" w:eastAsia="zh-CN" w:bidi="ar-SA"/>
        </w:rPr>
      </w:pPr>
      <w:r>
        <w:rPr>
          <w:rFonts w:hint="eastAsia" w:ascii="MingLiU" w:hAnsi="MingLiU" w:eastAsia="宋体" w:cs="MingLiU"/>
          <w:b w:val="0"/>
          <w:bCs w:val="0"/>
          <w:sz w:val="24"/>
          <w:szCs w:val="24"/>
          <w:lang w:val="en-US" w:eastAsia="zh-CN"/>
        </w:rPr>
        <w:t>1</w:t>
      </w:r>
      <w:r>
        <w:rPr>
          <w:rFonts w:hint="eastAsia" w:ascii="MingLiU" w:hAnsi="MingLiU" w:eastAsia="MingLiU" w:cs="MingLiU"/>
          <w:b w:val="0"/>
          <w:bCs w:val="0"/>
          <w:sz w:val="24"/>
          <w:szCs w:val="24"/>
        </w:rPr>
        <w:t>、</w:t>
      </w:r>
      <w:r>
        <w:rPr>
          <w:rFonts w:hint="eastAsia" w:ascii="MingLiU" w:hAnsi="MingLiU" w:eastAsia="MingLiU" w:cs="MingLiU"/>
          <w:b w:val="0"/>
          <w:bCs w:val="0"/>
          <w:kern w:val="2"/>
          <w:sz w:val="24"/>
          <w:szCs w:val="24"/>
          <w:lang w:val="en-US" w:eastAsia="zh-CN" w:bidi="ar-SA"/>
        </w:rPr>
        <w:t>乙方同意：甲方可以通过手机短信、微信、微博、电子邮件、传真或其他电子形式和媒介向乙方或乙方指定员工的移动电话或者电子邮箱发送商业性电子信息，得到乙方的回复后则证明乙方已经收到甲方的相关通知。</w:t>
      </w:r>
    </w:p>
    <w:p>
      <w:pPr>
        <w:pStyle w:val="2"/>
        <w:spacing w:line="360" w:lineRule="auto"/>
        <w:ind w:firstLine="480" w:firstLineChars="200"/>
        <w:jc w:val="left"/>
        <w:rPr>
          <w:rFonts w:hint="eastAsia" w:ascii="MingLiU" w:hAnsi="MingLiU" w:eastAsia="MingLiU" w:cs="MingLiU"/>
          <w:b w:val="0"/>
          <w:bCs w:val="0"/>
          <w:kern w:val="2"/>
          <w:sz w:val="24"/>
          <w:szCs w:val="24"/>
          <w:lang w:val="en-US" w:eastAsia="zh-CN" w:bidi="ar-SA"/>
        </w:rPr>
      </w:pPr>
      <w:r>
        <w:rPr>
          <w:rFonts w:hint="eastAsia" w:ascii="MingLiU" w:hAnsi="MingLiU" w:eastAsia="MingLiU" w:cs="MingLiU"/>
          <w:b w:val="0"/>
          <w:bCs w:val="0"/>
          <w:kern w:val="2"/>
          <w:sz w:val="24"/>
          <w:szCs w:val="24"/>
          <w:lang w:val="en-US" w:eastAsia="zh-CN" w:bidi="ar-SA"/>
        </w:rPr>
        <w:t>2、如乙方人员离职或被辞退，乙方应第一时间通知甲方并保证甲方信息及甲方客户信息，乙方人员无论在任何状态下对甲方及甲方客户造成损害的均有乙方承担。</w:t>
      </w:r>
    </w:p>
    <w:p>
      <w:pPr>
        <w:pStyle w:val="2"/>
        <w:spacing w:line="360" w:lineRule="auto"/>
        <w:ind w:firstLine="480" w:firstLineChars="200"/>
        <w:jc w:val="left"/>
        <w:rPr>
          <w:rFonts w:hint="eastAsia" w:ascii="MingLiU" w:hAnsi="MingLiU" w:eastAsia="宋体" w:cs="MingLiU"/>
          <w:b w:val="0"/>
          <w:bCs w:val="0"/>
          <w:sz w:val="24"/>
          <w:szCs w:val="24"/>
          <w:lang w:val="en-US" w:eastAsia="zh-CN"/>
        </w:rPr>
      </w:pPr>
      <w:r>
        <w:rPr>
          <w:rFonts w:hint="eastAsia" w:ascii="MingLiU" w:hAnsi="MingLiU" w:eastAsia="宋体" w:cs="MingLiU"/>
          <w:b w:val="0"/>
          <w:bCs w:val="0"/>
          <w:sz w:val="24"/>
          <w:szCs w:val="24"/>
          <w:lang w:val="en-US" w:eastAsia="zh-CN"/>
        </w:rPr>
        <w:t>3、乙方同意在未经过甲方本合同负责人赖剑灵书面允许的情况下，乙方及乙方员工、合作方等不得与甲方及甲方客户进行业务沟通，否则甲方有权要求乙方开除相应员工或取消乙方合作方的合作并由此给甲方造成的一切损失均由乙方负责。</w:t>
      </w:r>
    </w:p>
    <w:p>
      <w:pPr>
        <w:pStyle w:val="2"/>
        <w:spacing w:line="360" w:lineRule="auto"/>
        <w:ind w:firstLine="480" w:firstLineChars="200"/>
        <w:jc w:val="left"/>
        <w:rPr>
          <w:rFonts w:hint="eastAsia" w:ascii="MingLiU" w:hAnsi="MingLiU" w:eastAsia="MingLiU" w:cs="MingLiU"/>
          <w:b w:val="0"/>
          <w:bCs w:val="0"/>
          <w:sz w:val="24"/>
          <w:szCs w:val="24"/>
        </w:rPr>
      </w:pPr>
    </w:p>
    <w:p>
      <w:pPr>
        <w:spacing w:before="312" w:beforeLines="100" w:line="360" w:lineRule="auto"/>
        <w:ind w:right="-1048" w:rightChars="-499"/>
        <w:jc w:val="left"/>
        <w:rPr>
          <w:rFonts w:hint="eastAsia" w:ascii="MingLiU" w:hAnsi="MingLiU" w:eastAsia="MingLiU" w:cs="MingLiU"/>
          <w:b/>
          <w:sz w:val="24"/>
          <w:szCs w:val="24"/>
        </w:rPr>
      </w:pPr>
      <w:r>
        <w:rPr>
          <w:rFonts w:hint="eastAsia" w:ascii="MingLiU" w:hAnsi="MingLiU" w:eastAsia="MingLiU" w:cs="MingLiU"/>
          <w:b/>
          <w:sz w:val="24"/>
          <w:szCs w:val="24"/>
        </w:rPr>
        <w:t>五，合同生效与终止</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1、本合同自双方加盖公章之日起生效；有效期为一年，到期后若双方无意终止，本合同自动延长一年；</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2、本合同生效后，任何一方若要求终止合同时应以书面形式通知对方，在对方接到此通知后的第30天起合同即行失效；</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3、本合同失效后，协议双方仍应承担协议终止前本合同规定的双方应履行但尚未履行完毕的一切责任与义务。</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4、本协议未尽事宜，双方本着长期合作、互惠互利的原则友好协商解决。如有法律纠纷，双方约定由协议签定地法院管辖。</w:t>
      </w:r>
    </w:p>
    <w:p>
      <w:pPr>
        <w:spacing w:before="312" w:beforeLines="100" w:line="360" w:lineRule="auto"/>
        <w:ind w:right="-1048" w:rightChars="-499"/>
        <w:jc w:val="left"/>
        <w:rPr>
          <w:rFonts w:hint="eastAsia" w:ascii="MingLiU" w:hAnsi="MingLiU" w:eastAsia="MingLiU" w:cs="MingLiU"/>
          <w:b/>
          <w:sz w:val="24"/>
          <w:szCs w:val="24"/>
        </w:rPr>
      </w:pPr>
      <w:r>
        <w:rPr>
          <w:rFonts w:hint="eastAsia" w:ascii="MingLiU" w:hAnsi="MingLiU" w:eastAsia="MingLiU" w:cs="MingLiU"/>
          <w:b/>
          <w:sz w:val="24"/>
          <w:szCs w:val="24"/>
        </w:rPr>
        <w:t>六、修改与补充</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1、对本合同的任何修改或补充必须得到双方的书面确认并从双方书面确认之日起生效。</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2、在修改或补充未获得双方书面确认之前，仍需执行本合同规定的条款。</w:t>
      </w: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3、本协议一式两份，在乙方公司本部签定，甲乙双方各执一份，具有同等法律效力，未尽事宜，甲乙双方本着友好合作精神协商解决。</w:t>
      </w:r>
    </w:p>
    <w:p>
      <w:pPr>
        <w:adjustRightInd w:val="0"/>
        <w:snapToGrid w:val="0"/>
        <w:spacing w:line="360" w:lineRule="auto"/>
        <w:ind w:firstLine="480" w:firstLineChars="200"/>
        <w:jc w:val="left"/>
        <w:rPr>
          <w:rFonts w:hint="eastAsia" w:ascii="MingLiU" w:hAnsi="MingLiU" w:eastAsia="MingLiU" w:cs="MingLiU"/>
          <w:sz w:val="24"/>
          <w:szCs w:val="24"/>
        </w:rPr>
      </w:pPr>
    </w:p>
    <w:p>
      <w:pPr>
        <w:adjustRightInd w:val="0"/>
        <w:snapToGrid w:val="0"/>
        <w:spacing w:line="360" w:lineRule="auto"/>
        <w:ind w:firstLine="480" w:firstLineChars="200"/>
        <w:jc w:val="left"/>
        <w:rPr>
          <w:rFonts w:hint="eastAsia" w:ascii="MingLiU" w:hAnsi="MingLiU" w:eastAsia="MingLiU" w:cs="MingLiU"/>
          <w:sz w:val="24"/>
          <w:szCs w:val="24"/>
        </w:rPr>
      </w:pPr>
      <w:r>
        <w:rPr>
          <w:rFonts w:hint="eastAsia" w:ascii="MingLiU" w:hAnsi="MingLiU" w:eastAsia="MingLiU" w:cs="MingLiU"/>
          <w:sz w:val="24"/>
          <w:szCs w:val="24"/>
        </w:rPr>
        <w:t>附件：1、报价及结算单；</w:t>
      </w:r>
    </w:p>
    <w:p>
      <w:pPr>
        <w:adjustRightInd w:val="0"/>
        <w:snapToGrid w:val="0"/>
        <w:spacing w:line="360" w:lineRule="auto"/>
        <w:ind w:firstLine="1200" w:firstLineChars="500"/>
        <w:jc w:val="left"/>
        <w:rPr>
          <w:rFonts w:hint="eastAsia" w:ascii="MingLiU" w:hAnsi="MingLiU" w:eastAsia="MingLiU" w:cs="MingLiU"/>
          <w:sz w:val="24"/>
          <w:szCs w:val="24"/>
        </w:rPr>
      </w:pPr>
      <w:r>
        <w:rPr>
          <w:rFonts w:hint="eastAsia" w:ascii="MingLiU" w:hAnsi="MingLiU" w:eastAsia="MingLiU" w:cs="MingLiU"/>
          <w:sz w:val="24"/>
          <w:szCs w:val="24"/>
        </w:rPr>
        <w:t>2、双方的营业执照复印件；</w:t>
      </w:r>
    </w:p>
    <w:p>
      <w:pPr>
        <w:adjustRightInd w:val="0"/>
        <w:snapToGrid w:val="0"/>
        <w:spacing w:line="360" w:lineRule="auto"/>
        <w:ind w:firstLine="1200" w:firstLineChars="500"/>
        <w:jc w:val="left"/>
        <w:rPr>
          <w:rFonts w:hint="eastAsia" w:ascii="MingLiU" w:hAnsi="MingLiU" w:eastAsia="MingLiU" w:cs="MingLiU"/>
          <w:sz w:val="24"/>
          <w:szCs w:val="24"/>
        </w:rPr>
      </w:pPr>
      <w:r>
        <w:rPr>
          <w:rFonts w:hint="eastAsia" w:ascii="MingLiU" w:hAnsi="MingLiU" w:eastAsia="MingLiU" w:cs="MingLiU"/>
          <w:sz w:val="24"/>
          <w:szCs w:val="24"/>
        </w:rPr>
        <w:t>3、受托方（乙方）的海关、检验检疫注册证书复印件</w:t>
      </w:r>
    </w:p>
    <w:p>
      <w:pPr>
        <w:adjustRightInd w:val="0"/>
        <w:snapToGrid w:val="0"/>
        <w:spacing w:line="360" w:lineRule="auto"/>
        <w:ind w:firstLine="480" w:firstLineChars="200"/>
        <w:jc w:val="left"/>
        <w:rPr>
          <w:rFonts w:hint="eastAsia" w:ascii="MingLiU" w:hAnsi="MingLiU" w:eastAsia="MingLiU" w:cs="MingLiU"/>
          <w:sz w:val="24"/>
          <w:szCs w:val="24"/>
        </w:rPr>
      </w:pPr>
    </w:p>
    <w:p>
      <w:pPr>
        <w:pStyle w:val="5"/>
        <w:spacing w:before="156" w:beforeLines="50" w:beforeAutospacing="0" w:after="156" w:afterLines="50" w:afterAutospacing="0" w:line="0" w:lineRule="atLeast"/>
        <w:textAlignment w:val="baseline"/>
        <w:rPr>
          <w:rFonts w:hint="eastAsia" w:ascii="MingLiU" w:hAnsi="MingLiU" w:eastAsia="MingLiU" w:cs="MingLiU"/>
          <w:kern w:val="2"/>
          <w:sz w:val="18"/>
        </w:rPr>
      </w:pPr>
    </w:p>
    <w:p>
      <w:pPr>
        <w:pStyle w:val="5"/>
        <w:spacing w:before="156" w:beforeLines="50" w:beforeAutospacing="0" w:after="156" w:afterLines="50" w:afterAutospacing="0" w:line="0" w:lineRule="atLeast"/>
        <w:ind w:firstLine="450" w:firstLineChars="250"/>
        <w:textAlignment w:val="baseline"/>
        <w:rPr>
          <w:rFonts w:hint="eastAsia" w:ascii="MingLiU" w:hAnsi="MingLiU" w:eastAsia="MingLiU" w:cs="MingLiU"/>
          <w:kern w:val="2"/>
          <w:sz w:val="18"/>
        </w:rPr>
      </w:pPr>
    </w:p>
    <w:p>
      <w:pPr>
        <w:spacing w:line="400" w:lineRule="exact"/>
        <w:rPr>
          <w:rFonts w:hint="eastAsia" w:ascii="MingLiU" w:hAnsi="MingLiU" w:eastAsia="MingLiU" w:cs="MingLiU"/>
          <w:sz w:val="20"/>
        </w:rPr>
      </w:pPr>
    </w:p>
    <w:p>
      <w:pPr>
        <w:spacing w:line="400" w:lineRule="exact"/>
        <w:rPr>
          <w:rFonts w:hint="eastAsia" w:ascii="MingLiU" w:hAnsi="MingLiU" w:eastAsia="MingLiU" w:cs="MingLiU"/>
          <w:sz w:val="20"/>
        </w:rPr>
      </w:pPr>
      <w:r>
        <w:rPr>
          <w:rFonts w:hint="eastAsia" w:ascii="MingLiU" w:hAnsi="MingLiU" w:eastAsia="MingLiU" w:cs="MingLiU"/>
          <w:sz w:val="20"/>
        </w:rPr>
        <w:t>（本页为合同签署页）</w:t>
      </w:r>
    </w:p>
    <w:tbl>
      <w:tblPr>
        <w:tblStyle w:val="7"/>
        <w:tblpPr w:leftFromText="180" w:rightFromText="180" w:vertAnchor="text" w:tblpX="154" w:tblpY="61"/>
        <w:tblW w:w="9889" w:type="dxa"/>
        <w:tblInd w:w="0" w:type="dxa"/>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
      <w:tblGrid>
        <w:gridCol w:w="4786"/>
        <w:gridCol w:w="5103"/>
      </w:tblGrid>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66" w:hRule="atLeast"/>
        </w:trPr>
        <w:tc>
          <w:tcPr>
            <w:tcW w:w="4786" w:type="dxa"/>
            <w:vAlign w:val="center"/>
          </w:tcPr>
          <w:p>
            <w:pPr>
              <w:spacing w:line="400" w:lineRule="exact"/>
              <w:rPr>
                <w:rFonts w:hint="eastAsia" w:ascii="MingLiU" w:hAnsi="MingLiU" w:eastAsia="MingLiU" w:cs="MingLiU"/>
                <w:b/>
                <w:sz w:val="20"/>
              </w:rPr>
            </w:pPr>
            <w:r>
              <w:rPr>
                <w:rFonts w:hint="eastAsia" w:ascii="MingLiU" w:hAnsi="MingLiU" w:eastAsia="MingLiU" w:cs="MingLiU"/>
                <w:b/>
                <w:bCs/>
                <w:sz w:val="20"/>
              </w:rPr>
              <w:t>甲方：</w:t>
            </w:r>
            <w:r>
              <w:rPr>
                <w:rFonts w:hint="eastAsia" w:ascii="MingLiU" w:hAnsi="MingLiU" w:eastAsia="MingLiU" w:cs="MingLiU"/>
                <w:b/>
                <w:bCs/>
                <w:sz w:val="20"/>
                <w:lang w:eastAsia="zh-CN"/>
              </w:rPr>
              <w:t>广州万享进贸通供应链有限公司</w:t>
            </w:r>
          </w:p>
        </w:tc>
        <w:tc>
          <w:tcPr>
            <w:tcW w:w="5103" w:type="dxa"/>
            <w:vAlign w:val="center"/>
          </w:tcPr>
          <w:p>
            <w:pPr>
              <w:spacing w:line="400" w:lineRule="exact"/>
              <w:rPr>
                <w:rFonts w:hint="eastAsia" w:ascii="MingLiU" w:hAnsi="MingLiU" w:eastAsia="MingLiU" w:cs="MingLiU"/>
                <w:b/>
                <w:sz w:val="20"/>
              </w:rPr>
            </w:pPr>
            <w:r>
              <w:rPr>
                <w:rFonts w:hint="eastAsia" w:ascii="MingLiU" w:hAnsi="MingLiU" w:eastAsia="MingLiU" w:cs="MingLiU"/>
                <w:b/>
                <w:color w:val="000000"/>
                <w:sz w:val="20"/>
              </w:rPr>
              <w:t>乙方：</w:t>
            </w:r>
          </w:p>
        </w:tc>
      </w:tr>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66" w:hRule="atLeast"/>
        </w:trPr>
        <w:tc>
          <w:tcPr>
            <w:tcW w:w="4786" w:type="dxa"/>
            <w:vAlign w:val="center"/>
          </w:tcPr>
          <w:p>
            <w:pPr>
              <w:spacing w:line="400" w:lineRule="exact"/>
              <w:rPr>
                <w:rFonts w:hint="eastAsia" w:ascii="MingLiU" w:hAnsi="MingLiU" w:eastAsia="MingLiU" w:cs="MingLiU"/>
                <w:b/>
                <w:sz w:val="20"/>
              </w:rPr>
            </w:pPr>
            <w:r>
              <w:rPr>
                <w:rFonts w:hint="eastAsia" w:ascii="MingLiU" w:hAnsi="MingLiU" w:eastAsia="MingLiU" w:cs="MingLiU"/>
                <w:b/>
                <w:sz w:val="20"/>
              </w:rPr>
              <w:t>授权代表签字（盖章）</w:t>
            </w:r>
            <w:r>
              <w:rPr>
                <w:rFonts w:hint="eastAsia" w:ascii="MingLiU" w:hAnsi="MingLiU" w:eastAsia="MingLiU" w:cs="MingLiU"/>
                <w:b/>
                <w:color w:val="000000"/>
                <w:sz w:val="20"/>
              </w:rPr>
              <w:t xml:space="preserve">： </w:t>
            </w:r>
          </w:p>
        </w:tc>
        <w:tc>
          <w:tcPr>
            <w:tcW w:w="5103" w:type="dxa"/>
            <w:vAlign w:val="center"/>
          </w:tcPr>
          <w:p>
            <w:pPr>
              <w:spacing w:line="400" w:lineRule="exact"/>
              <w:rPr>
                <w:rFonts w:hint="eastAsia" w:ascii="MingLiU" w:hAnsi="MingLiU" w:eastAsia="MingLiU" w:cs="MingLiU"/>
                <w:b/>
                <w:sz w:val="20"/>
              </w:rPr>
            </w:pPr>
            <w:r>
              <w:rPr>
                <w:rFonts w:hint="eastAsia" w:ascii="MingLiU" w:hAnsi="MingLiU" w:eastAsia="MingLiU" w:cs="MingLiU"/>
                <w:b/>
                <w:sz w:val="20"/>
              </w:rPr>
              <w:t>授权代表签字（盖章）</w:t>
            </w:r>
            <w:r>
              <w:rPr>
                <w:rFonts w:hint="eastAsia" w:ascii="MingLiU" w:hAnsi="MingLiU" w:eastAsia="MingLiU" w:cs="MingLiU"/>
                <w:b/>
                <w:color w:val="000000"/>
                <w:sz w:val="20"/>
              </w:rPr>
              <w:t>：</w:t>
            </w:r>
          </w:p>
        </w:tc>
      </w:tr>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Ex>
        <w:trPr>
          <w:trHeight w:val="566" w:hRule="atLeast"/>
        </w:trPr>
        <w:tc>
          <w:tcPr>
            <w:tcW w:w="4786" w:type="dxa"/>
            <w:vAlign w:val="center"/>
          </w:tcPr>
          <w:p>
            <w:pPr>
              <w:spacing w:line="400" w:lineRule="exact"/>
              <w:rPr>
                <w:rFonts w:hint="eastAsia" w:ascii="MingLiU" w:hAnsi="MingLiU" w:eastAsia="MingLiU" w:cs="MingLiU"/>
                <w:b/>
                <w:sz w:val="20"/>
              </w:rPr>
            </w:pPr>
            <w:r>
              <w:rPr>
                <w:rFonts w:hint="eastAsia" w:ascii="MingLiU" w:hAnsi="MingLiU" w:eastAsia="MingLiU" w:cs="MingLiU"/>
                <w:b/>
                <w:sz w:val="20"/>
              </w:rPr>
              <w:t>签订日期</w:t>
            </w:r>
            <w:r>
              <w:rPr>
                <w:rFonts w:hint="eastAsia" w:ascii="MingLiU" w:hAnsi="MingLiU" w:eastAsia="MingLiU" w:cs="MingLiU"/>
                <w:b/>
                <w:color w:val="000000"/>
                <w:sz w:val="20"/>
              </w:rPr>
              <w:t>：</w:t>
            </w:r>
            <w:r>
              <w:rPr>
                <w:rFonts w:hint="eastAsia" w:ascii="MingLiU" w:hAnsi="MingLiU" w:eastAsia="MingLiU" w:cs="MingLiU"/>
                <w:b/>
                <w:color w:val="000000"/>
                <w:sz w:val="20"/>
                <w:u w:val="single"/>
              </w:rPr>
              <w:t xml:space="preserve">       </w:t>
            </w:r>
            <w:r>
              <w:rPr>
                <w:rFonts w:hint="eastAsia" w:ascii="MingLiU" w:hAnsi="MingLiU" w:eastAsia="MingLiU" w:cs="MingLiU"/>
                <w:b/>
                <w:color w:val="000000"/>
                <w:sz w:val="20"/>
              </w:rPr>
              <w:t>年</w:t>
            </w:r>
            <w:r>
              <w:rPr>
                <w:rFonts w:hint="eastAsia" w:ascii="MingLiU" w:hAnsi="MingLiU" w:eastAsia="MingLiU" w:cs="MingLiU"/>
                <w:b/>
                <w:color w:val="000000"/>
                <w:sz w:val="20"/>
                <w:u w:val="single"/>
              </w:rPr>
              <w:t xml:space="preserve">      </w:t>
            </w:r>
            <w:r>
              <w:rPr>
                <w:rFonts w:hint="eastAsia" w:ascii="MingLiU" w:hAnsi="MingLiU" w:eastAsia="MingLiU" w:cs="MingLiU"/>
                <w:b/>
                <w:color w:val="000000"/>
                <w:sz w:val="20"/>
              </w:rPr>
              <w:t>月</w:t>
            </w:r>
            <w:r>
              <w:rPr>
                <w:rFonts w:hint="eastAsia" w:ascii="MingLiU" w:hAnsi="MingLiU" w:eastAsia="MingLiU" w:cs="MingLiU"/>
                <w:b/>
                <w:color w:val="000000"/>
                <w:sz w:val="20"/>
                <w:u w:val="single"/>
              </w:rPr>
              <w:t xml:space="preserve">      </w:t>
            </w:r>
            <w:r>
              <w:rPr>
                <w:rFonts w:hint="eastAsia" w:ascii="MingLiU" w:hAnsi="MingLiU" w:eastAsia="MingLiU" w:cs="MingLiU"/>
                <w:b/>
                <w:color w:val="000000"/>
                <w:sz w:val="20"/>
              </w:rPr>
              <w:t>日</w:t>
            </w:r>
          </w:p>
        </w:tc>
        <w:tc>
          <w:tcPr>
            <w:tcW w:w="5103" w:type="dxa"/>
            <w:vAlign w:val="center"/>
          </w:tcPr>
          <w:p>
            <w:pPr>
              <w:spacing w:line="400" w:lineRule="exact"/>
              <w:rPr>
                <w:rFonts w:hint="eastAsia" w:ascii="MingLiU" w:hAnsi="MingLiU" w:eastAsia="MingLiU" w:cs="MingLiU"/>
                <w:b/>
                <w:sz w:val="20"/>
              </w:rPr>
            </w:pPr>
            <w:r>
              <w:rPr>
                <w:rFonts w:hint="eastAsia" w:ascii="MingLiU" w:hAnsi="MingLiU" w:eastAsia="MingLiU" w:cs="MingLiU"/>
                <w:b/>
                <w:sz w:val="20"/>
              </w:rPr>
              <w:t>签订日期</w:t>
            </w:r>
            <w:r>
              <w:rPr>
                <w:rFonts w:hint="eastAsia" w:ascii="MingLiU" w:hAnsi="MingLiU" w:eastAsia="MingLiU" w:cs="MingLiU"/>
                <w:b/>
                <w:color w:val="000000"/>
                <w:sz w:val="20"/>
              </w:rPr>
              <w:t>：</w:t>
            </w:r>
            <w:r>
              <w:rPr>
                <w:rFonts w:hint="eastAsia" w:ascii="MingLiU" w:hAnsi="MingLiU" w:eastAsia="MingLiU" w:cs="MingLiU"/>
                <w:b/>
                <w:color w:val="000000"/>
                <w:sz w:val="20"/>
                <w:u w:val="single"/>
              </w:rPr>
              <w:t xml:space="preserve">       </w:t>
            </w:r>
            <w:r>
              <w:rPr>
                <w:rFonts w:hint="eastAsia" w:ascii="MingLiU" w:hAnsi="MingLiU" w:eastAsia="MingLiU" w:cs="MingLiU"/>
                <w:b/>
                <w:color w:val="000000"/>
                <w:sz w:val="20"/>
              </w:rPr>
              <w:t>年</w:t>
            </w:r>
            <w:r>
              <w:rPr>
                <w:rFonts w:hint="eastAsia" w:ascii="MingLiU" w:hAnsi="MingLiU" w:eastAsia="MingLiU" w:cs="MingLiU"/>
                <w:b/>
                <w:color w:val="000000"/>
                <w:sz w:val="20"/>
                <w:u w:val="single"/>
              </w:rPr>
              <w:t xml:space="preserve">      </w:t>
            </w:r>
            <w:r>
              <w:rPr>
                <w:rFonts w:hint="eastAsia" w:ascii="MingLiU" w:hAnsi="MingLiU" w:eastAsia="MingLiU" w:cs="MingLiU"/>
                <w:b/>
                <w:color w:val="000000"/>
                <w:sz w:val="20"/>
              </w:rPr>
              <w:t>月</w:t>
            </w:r>
            <w:r>
              <w:rPr>
                <w:rFonts w:hint="eastAsia" w:ascii="MingLiU" w:hAnsi="MingLiU" w:eastAsia="MingLiU" w:cs="MingLiU"/>
                <w:b/>
                <w:color w:val="000000"/>
                <w:sz w:val="20"/>
                <w:u w:val="single"/>
              </w:rPr>
              <w:t xml:space="preserve">      </w:t>
            </w:r>
            <w:r>
              <w:rPr>
                <w:rFonts w:hint="eastAsia" w:ascii="MingLiU" w:hAnsi="MingLiU" w:eastAsia="MingLiU" w:cs="MingLiU"/>
                <w:b/>
                <w:color w:val="000000"/>
                <w:sz w:val="20"/>
              </w:rPr>
              <w:t>日</w:t>
            </w:r>
          </w:p>
        </w:tc>
      </w:tr>
    </w:tbl>
    <w:p>
      <w:pPr>
        <w:rPr>
          <w:rFonts w:hint="eastAsia" w:ascii="MingLiU" w:hAnsi="MingLiU" w:eastAsia="MingLiU" w:cs="MingLiU"/>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ascii="黑体" w:eastAsia="黑体"/>
        <w:sz w:val="21"/>
        <w:szCs w:val="21"/>
        <w:lang w:val="en-US"/>
      </w:rPr>
    </w:pPr>
    <w:r>
      <w:rPr>
        <w:rFonts w:hint="eastAsia" w:ascii="黑体" w:eastAsia="黑体"/>
        <w:sz w:val="21"/>
        <w:szCs w:val="21"/>
        <w:lang w:eastAsia="zh-CN"/>
      </w:rPr>
      <w:t>广州万享进贸通供应链有限公司</w:t>
    </w:r>
    <w:r>
      <w:rPr>
        <w:rFonts w:hint="eastAsia" w:ascii="黑体" w:eastAsia="黑体"/>
        <w:sz w:val="21"/>
        <w:szCs w:val="21"/>
      </w:rPr>
      <w:t xml:space="preserve">    </w:t>
    </w:r>
    <w:r>
      <w:rPr>
        <w:rFonts w:hint="eastAsia" w:ascii="黑体" w:eastAsia="黑体"/>
        <w:sz w:val="21"/>
        <w:szCs w:val="21"/>
        <w:lang w:val="en-US" w:eastAsia="zh-CN"/>
      </w:rPr>
      <w:t xml:space="preserve">     </w:t>
    </w:r>
    <w:r>
      <w:rPr>
        <w:rFonts w:hint="eastAsia" w:ascii="黑体" w:eastAsia="黑体"/>
        <w:sz w:val="21"/>
        <w:szCs w:val="21"/>
      </w:rPr>
      <w:t xml:space="preserve">  </w:t>
    </w:r>
    <w:r>
      <w:rPr>
        <w:rFonts w:hint="eastAsia" w:ascii="黑体" w:eastAsia="黑体"/>
        <w:sz w:val="21"/>
        <w:szCs w:val="21"/>
        <w:lang w:val="en-US" w:eastAsia="zh-CN"/>
      </w:rPr>
      <w:t xml:space="preserve">              </w:t>
    </w:r>
    <w:r>
      <w:rPr>
        <w:rFonts w:hint="eastAsia" w:ascii="黑体" w:eastAsia="黑体"/>
        <w:sz w:val="21"/>
        <w:szCs w:val="21"/>
      </w:rPr>
      <w:t xml:space="preserve">            </w:t>
    </w:r>
    <w:r>
      <w:rPr>
        <w:rFonts w:hint="eastAsia" w:ascii="黑体" w:eastAsia="黑体"/>
        <w:sz w:val="21"/>
        <w:szCs w:val="21"/>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27448"/>
    <w:rsid w:val="00B7276B"/>
    <w:rsid w:val="050C6958"/>
    <w:rsid w:val="096B1A16"/>
    <w:rsid w:val="35627448"/>
    <w:rsid w:val="5AAB39AD"/>
    <w:rsid w:val="6D535020"/>
    <w:rsid w:val="73EE6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jc w:val="center"/>
    </w:pPr>
    <w:rPr>
      <w:rFonts w:ascii="仿宋_GB2312" w:eastAsia="仿宋_GB2312"/>
      <w:b/>
      <w:bCs/>
      <w:sz w:val="4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widowControl/>
      <w:spacing w:before="100" w:beforeLines="0" w:beforeAutospacing="1" w:after="100" w:afterLines="0" w:afterAutospacing="1" w:line="336" w:lineRule="auto"/>
      <w:jc w:val="left"/>
    </w:pPr>
    <w:rPr>
      <w:rFonts w:ascii="宋体" w:hAnsi="宋体"/>
      <w:kern w:val="0"/>
      <w:sz w:val="24"/>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2018-09-12T03:04:00Z</dcterms:created>
  <dc:creator>弈成</dc:creator>
  <cp:lastModifiedBy>客服部-熊逸君</cp:lastModifiedBy>
  <dcterms:modified xsi:type="dcterms:W3CDTF">2019-04-18T02:34:50Z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