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4" w:lineRule="auto"/>
        <w:ind w:left="7421" w:right="0" w:rightChars="0" w:hanging="7392" w:hangingChars="2640"/>
        <w:jc w:val="center"/>
        <w:textAlignment w:val="auto"/>
        <w:outlineLvl w:val="9"/>
        <w:rPr>
          <w:rFonts w:hint="eastAsia" w:eastAsia="宋体"/>
          <w:b/>
          <w:sz w:val="28"/>
          <w:szCs w:val="28"/>
          <w:lang w:eastAsia="zh-CN"/>
        </w:rPr>
      </w:pPr>
      <w:r>
        <w:rPr>
          <w:rFonts w:hint="eastAsia"/>
          <w:b/>
          <w:sz w:val="28"/>
          <w:szCs w:val="28"/>
          <w:lang w:eastAsia="zh-CN"/>
        </w:rPr>
        <w:t>海关高级认证企业贸易安全标准</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场所安全：</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企业有检查、阻止未载明的货物和未经许可的人员进入场所、货物装卸和储存区域的书面制度和程序；进出口货物进出的区域设有隔离设施，以防止未经许可的人员进入。</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（1）大门和传达室：车辆、人员进出的大门配备人员驻守。</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（2）建筑结构：建筑物的建造方式能够防止非法闯入。定期对建筑物进行检查和修缮，确保其完好无损。</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（3）照明：企业生产经营场所配备充足的照明，包括以下区域：出入口，货物装卸和储存区，围墙周边及停车场/停车区域。</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（4）报警系统及视频监控摄像机：装配报警系统和视频监控摄像机，监测以下区域：出入口，货物装卸和储存区，围墙周边及停车场/停车区域，防止未经许可进入货物存储以及装卸区。</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（5）存储区域：在货物装卸和储存区域，以及用于存放进出口货物的区域，设有隔离设施，以阻止任何未经许可的人员进入。</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b w:val="0"/>
          <w:bCs w:val="0"/>
          <w:color w:val="000000"/>
          <w:kern w:val="0"/>
          <w:sz w:val="21"/>
          <w:szCs w:val="21"/>
        </w:rPr>
        <w:t>（6）锁闭装置及钥匙保管：所有内外窗户，大门和围栏都设有足够数量的锁闭装置。管理层或者保安人员要保管所有锁</w:t>
      </w:r>
      <w:r>
        <w:rPr>
          <w:rFonts w:hint="eastAsia" w:ascii="宋体" w:hAnsi="宋体" w:eastAsia="宋体" w:cs="宋体"/>
          <w:color w:val="000000"/>
          <w:kern w:val="0"/>
          <w:sz w:val="21"/>
          <w:szCs w:val="21"/>
        </w:rPr>
        <w:t>和钥匙。</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进入安全</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企业实行门禁管理，有实施员工和访客进出、保护公司资产的书面制度和程序。</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（1）员工：具有员工身份识别系统，对员工进行身份识别和进入控制。对员工、访客的身份标识（比如钥匙、钥匙卡等）的发放和回收进行统一管理和登记。</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（2）访客：对进入企业的访客要检查带有照片的身份证件并进行登记，访客要佩戴临时身份标识并且有内部人员陪同。</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b w:val="0"/>
          <w:bCs w:val="0"/>
          <w:color w:val="000000"/>
          <w:kern w:val="0"/>
          <w:sz w:val="21"/>
          <w:szCs w:val="21"/>
        </w:rPr>
        <w:t>（3）未经许可进入、身份不明的人员</w:t>
      </w:r>
      <w:r>
        <w:rPr>
          <w:rFonts w:hint="eastAsia" w:ascii="宋体" w:hAnsi="宋体" w:eastAsia="宋体" w:cs="宋体"/>
          <w:b/>
          <w:color w:val="000000"/>
          <w:kern w:val="0"/>
          <w:sz w:val="21"/>
          <w:szCs w:val="21"/>
        </w:rPr>
        <w:t>：</w:t>
      </w:r>
      <w:r>
        <w:rPr>
          <w:rFonts w:hint="eastAsia" w:ascii="宋体" w:hAnsi="宋体" w:eastAsia="宋体" w:cs="宋体"/>
          <w:color w:val="000000"/>
          <w:kern w:val="0"/>
          <w:sz w:val="21"/>
          <w:szCs w:val="21"/>
        </w:rPr>
        <w:t>有识别、质询和确认未经许可进入、身份不明的人员的程序；发现可疑人员进入的，企业员工要及时报告。</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人员安全</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企业有审查拟聘员工和定期审查现有员工的书面制度和程序，提供动态的员工清单，包含姓名、出生日期、身份证号码、担任职位。</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（1）聘用前审核：聘用员工前，要对其应聘申请信息（例如就业经历、推荐信等）进行核实。</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（2）背景调查：聘用员工前，要对其进行有无违法犯罪记录等安全背景的检查或者调查。一经录用，要根据员工表现，以及对处于重要敏感工作岗位的员工进行定期审查和重新调查。</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（3）员工离职程序：有书面制度和程序，对离职或者停职员工及时收回工作证件、设备，并禁止其进入企业生产经营场所及使用企业信息系统。</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kern w:val="0"/>
          <w:sz w:val="21"/>
          <w:szCs w:val="21"/>
        </w:rPr>
        <w:t>（4）安全培训：要对员工进行供应链安全意识的日常性培训，员工要了解企业应对某种状况以及进行报告的程序。</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商业伙伴安全</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企业有评估、要求、检查商业伙伴供应链安全的书面制度和程序。</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（1）全面评估：在筛选商业伙伴时根据本认证标准对商业伙伴进行全面评估，重点评估守法合规和贸易安全，并有书面制度和程序。</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（2）书面文件：在合同、协议或者其他书面资料中要求商业伙伴按照本认证标准优化和完善贸易安全管理。</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b w:val="0"/>
          <w:bCs w:val="0"/>
          <w:color w:val="000000"/>
          <w:kern w:val="0"/>
          <w:sz w:val="21"/>
          <w:szCs w:val="21"/>
        </w:rPr>
        <w:t>（3）监控检查</w:t>
      </w:r>
      <w:r>
        <w:rPr>
          <w:rFonts w:hint="eastAsia" w:ascii="宋体" w:hAnsi="宋体" w:eastAsia="宋体" w:cs="宋体"/>
          <w:b/>
          <w:color w:val="000000"/>
          <w:kern w:val="0"/>
          <w:sz w:val="21"/>
          <w:szCs w:val="21"/>
        </w:rPr>
        <w:t>：</w:t>
      </w:r>
      <w:r>
        <w:rPr>
          <w:rFonts w:hint="eastAsia" w:ascii="宋体" w:hAnsi="宋体" w:eastAsia="宋体" w:cs="宋体"/>
          <w:color w:val="000000"/>
          <w:kern w:val="0"/>
          <w:sz w:val="21"/>
          <w:szCs w:val="21"/>
        </w:rPr>
        <w:t>定期监控或者检查商业伙伴遵守贸易安全要求的情况，并有书面制度和程序。</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货物安全</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企业有确保供应链中货物在运输、搬运和存放过程中的完整性和安全性的措施和程序。</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（1）装运和接收货物：运抵的货物要与货物单证的信息相符，核实货物的重量、标签、件数或者箱数。离岸的货物要与购货订单或者装运订单上的内容进行核实。在货物关键交接环节有签名、盖章等保护制度。</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b w:val="0"/>
          <w:bCs w:val="0"/>
          <w:color w:val="000000"/>
          <w:kern w:val="0"/>
          <w:sz w:val="21"/>
          <w:szCs w:val="21"/>
        </w:rPr>
        <w:t>（2）货物差异：</w:t>
      </w:r>
      <w:r>
        <w:rPr>
          <w:rFonts w:hint="eastAsia" w:ascii="宋体" w:hAnsi="宋体" w:eastAsia="宋体" w:cs="宋体"/>
          <w:color w:val="000000"/>
          <w:kern w:val="0"/>
          <w:sz w:val="21"/>
          <w:szCs w:val="21"/>
        </w:rPr>
        <w:t>在出现货物溢、短装或者其他异常现象时要及时报告或者采取其他应对措施，并有书面制度和程序。</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集装箱安全</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企业有确保集装箱的完整性，以防止未经许可的货物或者人员混入的措施和程序。</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集装箱检查：在装货前检查集装箱结构的物理完整性和可靠性，包括门的锁闭系统的可靠性，并做好相关登记。检查建议采取“七点检查法”（即对集装箱按照以下顺序检查：前壁、左侧、右侧、地板、顶部、内/外门、外部/起落架）。</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（2）集装箱封条：已装货集装箱要施加高安全度的封条，所有封条都要符合或者超出现行PAS ISO 17712对高度安全封条的标准，封条有专人管理、登记。要建立施加和检验封条的书面制度和程序，以及封条异常的报告机制。</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b w:val="0"/>
          <w:bCs w:val="0"/>
          <w:kern w:val="0"/>
          <w:sz w:val="21"/>
          <w:szCs w:val="21"/>
        </w:rPr>
        <w:t>（3）集装箱存储</w:t>
      </w:r>
      <w:r>
        <w:rPr>
          <w:rFonts w:hint="eastAsia" w:ascii="宋体" w:hAnsi="宋体" w:eastAsia="宋体" w:cs="宋体"/>
          <w:b/>
          <w:bCs/>
          <w:kern w:val="0"/>
          <w:sz w:val="21"/>
          <w:szCs w:val="21"/>
        </w:rPr>
        <w:t>：</w:t>
      </w:r>
      <w:r>
        <w:rPr>
          <w:rFonts w:hint="eastAsia" w:ascii="宋体" w:hAnsi="宋体" w:eastAsia="宋体" w:cs="宋体"/>
          <w:kern w:val="0"/>
          <w:sz w:val="21"/>
          <w:szCs w:val="21"/>
        </w:rPr>
        <w:t>集装箱要保存在安全的区域，以防止未经许可的进入或者改装，有报告和解决未经许可擅自进入集装箱或者集装箱存储区域的程序</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运输工具安全</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企业有确保运输工具（拖车和挂车）的完整性，防止未经许可的人员或者物品混入的书面制度和程序。</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（1）运输工具的检查程序：有专门程序或者制度检查出入运输工具，防止藏匿可疑物品。</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（2）运输工具存储：运输工具要停放在安全的区域，以防止未经许可的进入或者其他损害，有报告和解决未经许可擅自进入或者损害的程序。</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color w:val="000000"/>
          <w:kern w:val="0"/>
          <w:sz w:val="21"/>
          <w:szCs w:val="21"/>
        </w:rPr>
        <w:t>（3）司机身份核实：在货物被接收或者发放前，应对装运或者接收货物的驾驶员进行身份认定。</w:t>
      </w:r>
    </w:p>
    <w:p>
      <w:pPr>
        <w:keepNext w:val="0"/>
        <w:keepLines w:val="0"/>
        <w:pageBreakBefore w:val="0"/>
        <w:numPr>
          <w:ilvl w:val="0"/>
          <w:numId w:val="1"/>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危机管理</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企业有应对灾害或者紧急安全事故等异常情况的书面制度和程序。</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（1）应急机制：具备对灾害或者紧急安全事故等异常情况的报告、处置等应急程序或者机制。</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（2）应急培训：要对员工进行应急培训。</w:t>
      </w:r>
    </w:p>
    <w:p>
      <w:pPr>
        <w:keepNext w:val="0"/>
        <w:keepLines w:val="0"/>
        <w:pageBreakBefore w:val="0"/>
        <w:numPr>
          <w:ilvl w:val="0"/>
          <w:numId w:val="0"/>
        </w:numPr>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b w:val="0"/>
          <w:bCs w:val="0"/>
          <w:color w:val="000000"/>
          <w:kern w:val="0"/>
          <w:sz w:val="21"/>
          <w:szCs w:val="21"/>
        </w:rPr>
        <w:t>（3）异常报告：发现有灾害或者紧急安全事故等异常情况、非法或者可疑活动，要报告海关或者其他有关执法机关</w:t>
      </w:r>
      <w:r>
        <w:rPr>
          <w:rFonts w:hint="eastAsia" w:ascii="宋体" w:hAnsi="宋体" w:eastAsia="宋体" w:cs="宋体"/>
          <w:color w:val="000000"/>
          <w:kern w:val="0"/>
          <w:sz w:val="21"/>
          <w:szCs w:val="21"/>
        </w:rPr>
        <w:t>。</w:t>
      </w:r>
    </w:p>
    <w:p>
      <w:pPr>
        <w:ind w:firstLine="420" w:firstLineChars="0"/>
        <w:rPr>
          <w:rFonts w:hint="eastAsia" w:ascii="宋体" w:hAnsi="宋体" w:eastAsia="宋体" w:cs="宋体"/>
          <w:sz w:val="18"/>
          <w:szCs w:val="18"/>
          <w:lang w:eastAsia="zh-CN"/>
        </w:rPr>
      </w:pPr>
    </w:p>
    <w:p>
      <w:pPr>
        <w:rPr>
          <w:rFonts w:hint="eastAsia" w:eastAsia="宋体"/>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DEA9"/>
    <w:multiLevelType w:val="singleLevel"/>
    <w:tmpl w:val="58F6DE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73DD8"/>
    <w:rsid w:val="15D73D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2017-04-19T09:58:00Z</dcterms:created>
  <dc:creator>user</dc:creator>
  <cp:lastModifiedBy>user</cp:lastModifiedBy>
  <dcterms:modified xsi:type="dcterms:W3CDTF">2017-04-19T09:58:32Z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